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1FCCFA7A" w14:textId="329F2735" w:rsidR="00DB1D27" w:rsidRDefault="0017447F"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Cameo amplía la serie OPUS con modelos de 600 vatios aptos para uso en exteriores: OPUS SP6 IP y H6 IP</w:t>
      </w:r>
    </w:p>
    <w:p w14:paraId="47E5559A" w14:textId="77777777" w:rsidR="0017447F" w:rsidRPr="008A52C9" w:rsidRDefault="0017447F" w:rsidP="008A52C9">
      <w:pPr>
        <w:shd w:val="clear" w:color="auto" w:fill="FFFFFF"/>
        <w:rPr>
          <w:rFonts w:ascii="Calibri" w:hAnsi="Calibri" w:cs="Calibri"/>
          <w:color w:val="000000" w:themeColor="text1"/>
          <w:sz w:val="44"/>
          <w:szCs w:val="44"/>
        </w:rPr>
      </w:pPr>
    </w:p>
    <w:p w14:paraId="227C4C56" w14:textId="33A9AE95" w:rsidR="008A52C9" w:rsidRDefault="008A52C9" w:rsidP="008A52C9">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Alemania –</w:t>
      </w:r>
      <w:r>
        <w:rPr>
          <w:rFonts w:ascii="Calibri" w:hAnsi="Calibri"/>
          <w:b/>
          <w:color w:val="FF0000"/>
          <w:sz w:val="22"/>
          <w:bdr w:val="none" w:sz="0" w:space="0" w:color="auto" w:frame="1"/>
        </w:rPr>
        <w:t xml:space="preserve"> </w:t>
      </w:r>
      <w:r>
        <w:rPr>
          <w:rFonts w:ascii="Calibri" w:hAnsi="Calibri"/>
          <w:b/>
          <w:color w:val="000000" w:themeColor="text1"/>
          <w:sz w:val="22"/>
          <w:bdr w:val="none" w:sz="0" w:space="0" w:color="auto" w:frame="1"/>
        </w:rPr>
        <w:t xml:space="preserve">22 de junio de 2026 </w:t>
      </w:r>
      <w:r>
        <w:rPr>
          <w:rFonts w:ascii="Calibri" w:hAnsi="Calibri"/>
          <w:b/>
          <w:color w:val="0D0D0D" w:themeColor="text1" w:themeTint="F2"/>
          <w:sz w:val="22"/>
          <w:bdr w:val="none" w:sz="0" w:space="0" w:color="auto" w:frame="1"/>
        </w:rPr>
        <w:t>– Con el cabezal móvil híbrido OPUS H6 IP y el cabezal móvil de perfil y foco OPUS SP6 IP, Cameo amplía su reconocida serie OPUS para incluir una nueva clase de rendimiento. Los cabezales móviles de 600 vatios con certificación IP65 están dirigidos a empresas de alquiler, alquiler sin personal y producciones que buscan focos compactos, de alto rendimiento y totalmente aptos para exteriores, con características prácticas para producciones al aire libre de mediana a gran escala.</w:t>
      </w:r>
    </w:p>
    <w:p w14:paraId="3E1A449C" w14:textId="77777777" w:rsidR="00DD12EB" w:rsidRDefault="00DD12EB" w:rsidP="008A52C9">
      <w:pPr>
        <w:shd w:val="clear" w:color="auto" w:fill="FFFFFF"/>
        <w:rPr>
          <w:rFonts w:ascii="Calibri" w:hAnsi="Calibri" w:cs="Calibri"/>
          <w:bCs/>
          <w:color w:val="000000" w:themeColor="text1"/>
          <w:sz w:val="22"/>
          <w:szCs w:val="22"/>
          <w:bdr w:val="none" w:sz="0" w:space="0" w:color="auto" w:frame="1"/>
        </w:rPr>
      </w:pPr>
    </w:p>
    <w:p w14:paraId="3BB8BDC1" w14:textId="7EB2E53C" w:rsidR="00DD12EB" w:rsidRDefault="00DD12EB" w:rsidP="008A52C9">
      <w:pPr>
        <w:shd w:val="clear" w:color="auto" w:fill="FFFFFF"/>
        <w:rPr>
          <w:rFonts w:ascii="Calibri" w:hAnsi="Calibri" w:cs="Calibri"/>
          <w:bCs/>
          <w:color w:val="000000" w:themeColor="text1"/>
          <w:sz w:val="22"/>
          <w:szCs w:val="22"/>
          <w:bdr w:val="none" w:sz="0" w:space="0" w:color="auto" w:frame="1"/>
        </w:rPr>
      </w:pPr>
      <w:r>
        <w:rPr>
          <w:rFonts w:ascii="Calibri" w:hAnsi="Calibri"/>
          <w:color w:val="000000" w:themeColor="text1"/>
          <w:sz w:val="22"/>
          <w:bdr w:val="none" w:sz="0" w:space="0" w:color="auto" w:frame="1"/>
        </w:rPr>
        <w:t>Las empresas de alquiler y de alquiler de equipos sin personal se enfrentan cada vez más al reto de disponer de equipos resistentes a la intemperie, versátiles y a la vez compactos, adecuados para producciones de muy diversa envergadura. La oferta abarca desde festivales y giras, eventos corporativos, fiestas populares e instalaciones temporales hasta producciones televisivas.</w:t>
      </w:r>
    </w:p>
    <w:p w14:paraId="1C0197B1" w14:textId="77777777" w:rsidR="00211478" w:rsidRDefault="00211478" w:rsidP="008A52C9">
      <w:pPr>
        <w:shd w:val="clear" w:color="auto" w:fill="FFFFFF"/>
        <w:rPr>
          <w:rFonts w:ascii="Calibri" w:hAnsi="Calibri" w:cs="Calibri"/>
          <w:bCs/>
          <w:color w:val="000000" w:themeColor="text1"/>
          <w:sz w:val="22"/>
          <w:szCs w:val="22"/>
          <w:bdr w:val="none" w:sz="0" w:space="0" w:color="auto" w:frame="1"/>
        </w:rPr>
      </w:pPr>
    </w:p>
    <w:p w14:paraId="595B07C7" w14:textId="2B2EBB73" w:rsidR="00CB0398" w:rsidRDefault="00CB0398" w:rsidP="008A52C9">
      <w:pPr>
        <w:shd w:val="clear" w:color="auto" w:fill="FFFFFF"/>
        <w:rPr>
          <w:rFonts w:ascii="Calibri" w:hAnsi="Calibri" w:cs="Calibri"/>
          <w:sz w:val="22"/>
          <w:szCs w:val="22"/>
        </w:rPr>
      </w:pPr>
      <w:r>
        <w:rPr>
          <w:rFonts w:ascii="Calibri" w:hAnsi="Calibri"/>
          <w:sz w:val="22"/>
        </w:rPr>
        <w:t>OPUS H6 IP se ha diseñado específicamente para aplicaciones en las que un solo dispositivo debe asumir el mayor número posible de tareas. Esto hace que el cabezal móvil híbrido IP65 sea especialmente adecuado para flotas de alquiler sin personal y de alquiler en general que deban utilizarse de forma económica y flexible en una amplia variedad de producciones. Con su motor de luz blanca LED de 600 vatios, que ofrece una potencia luminosa de 22 000 lúmenes, OPUS H6 IP abarca una amplia gama de aplicaciones gracias a su amplio rango de zoom de 1,8° a 53°: desde haces precisos y efectos de foco concentrados hasta potentes aplicaciones wash. La continua rotación panorámica permite movimientos dinámicos, cambios rápidos de posición y un aspecto impresionante desde cualquier ángulo. El potencial creativo de OPUS H6 IP se ve complementado por cuatro prismas distribuidos en dos niveles, lo que permite crear llamativos efectos aéreos y complejas estructuras de haces de luz. Con un peso aproximado de 30 kg, este versátil proyector híbrido de cabezal móvil sigue siendo compacto y fácil de manejar, lo que supone una ventaja decisiva para producciones en las que es necesario adaptar rápidamente las configuraciones y desplegar el equipo de forma eficiente sin comprometer la calidad del resultado.</w:t>
      </w:r>
    </w:p>
    <w:p w14:paraId="77F05732" w14:textId="77777777" w:rsidR="00CB0398" w:rsidRDefault="00CB0398" w:rsidP="008A52C9">
      <w:pPr>
        <w:shd w:val="clear" w:color="auto" w:fill="FFFFFF"/>
        <w:rPr>
          <w:rFonts w:ascii="Calibri" w:hAnsi="Calibri" w:cs="Calibri"/>
          <w:sz w:val="22"/>
          <w:szCs w:val="22"/>
        </w:rPr>
      </w:pPr>
    </w:p>
    <w:p w14:paraId="00C5A19C" w14:textId="67CEC69F" w:rsidR="00CB0398" w:rsidRDefault="00CB0398" w:rsidP="008A52C9">
      <w:pPr>
        <w:shd w:val="clear" w:color="auto" w:fill="FFFFFF"/>
        <w:rPr>
          <w:rFonts w:ascii="Calibri" w:hAnsi="Calibri" w:cs="Calibri"/>
          <w:sz w:val="22"/>
          <w:szCs w:val="22"/>
        </w:rPr>
      </w:pPr>
      <w:r>
        <w:rPr>
          <w:rFonts w:ascii="Calibri" w:hAnsi="Calibri"/>
          <w:sz w:val="22"/>
        </w:rPr>
        <w:t xml:space="preserve">OPUS SP6 IP también cuenta con un motor de luz blanca LED de 600 vatios y 22 000 lúmenes, si bien su principal objetivo es ofrecer un diseño de iluminación preciso en entornos exteriores. Para los diseñadores de iluminación y los proveedores de servicios de producción, las ventajas prácticas residen principalmente en unas proyecciones nítidas y una iluminación controlada, incluso en condiciones de producción cambiantes. El sistema de encuadre totalmente bloqueable con rotación de ±87° permite una conformación precisa del haz, mientras que el amplio rango de zoom de 3,5° a 53° facilita tanto puntos estrechos y claramente definidos como una iluminación de gran alcance. También en este caso, la rotación continua </w:t>
      </w:r>
      <w:r>
        <w:rPr>
          <w:rFonts w:ascii="Calibri" w:hAnsi="Calibri"/>
          <w:sz w:val="22"/>
        </w:rPr>
        <w:lastRenderedPageBreak/>
        <w:t>panorámica amplía la libertad creativa en cuanto a posición y movimiento. Con su lente frontal de 165 mm, su carcasa compacta y su reducido peso de 31,5 kg, OPUS SP6 IP combina una potente presencia escénica con una gran practicidad para el uso diario en giras y usos al aire libre.</w:t>
      </w:r>
    </w:p>
    <w:p w14:paraId="241D5B74" w14:textId="77777777" w:rsidR="00F03B9B" w:rsidRDefault="00F03B9B" w:rsidP="000C4ECE">
      <w:pPr>
        <w:pStyle w:val="KeinLeerraum"/>
        <w:rPr>
          <w:rFonts w:ascii="Calibri" w:hAnsi="Calibri" w:cs="Calibri"/>
          <w:color w:val="0D0D0D" w:themeColor="text1" w:themeTint="F2"/>
          <w:sz w:val="22"/>
          <w:szCs w:val="22"/>
        </w:rPr>
      </w:pPr>
    </w:p>
    <w:p w14:paraId="58AAD039" w14:textId="50834863" w:rsidR="00F03B9B" w:rsidRDefault="00F03B9B"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 xml:space="preserve">Los dos nuevos modelos OPUS están equipados con tecnología NFC y son compatibles con la aplicación Cameo CONNECT. Esto permite a los usuarios establecer configuraciones y llevar a cabo procesos de servicio y mantenimiento de forma especialmente rápida y eficiente en un solo lugar, lo que supone una ventaja significativa en el flujo de trabajo para producciones con plazos ajustados, configuraciones que cambian con frecuencia </w:t>
      </w:r>
      <w:r>
        <w:rPr>
          <w:rFonts w:ascii="Calibri" w:hAnsi="Calibri"/>
          <w:sz w:val="22"/>
        </w:rPr>
        <w:t>y grandes parques de equipos</w:t>
      </w:r>
      <w:r>
        <w:rPr>
          <w:rFonts w:ascii="Calibri" w:hAnsi="Calibri"/>
          <w:color w:val="0D0D0D" w:themeColor="text1" w:themeTint="F2"/>
          <w:sz w:val="22"/>
        </w:rPr>
        <w:t>. Ambos modelos se suministran con un inserto a juego para la maleta de transporte.</w:t>
      </w:r>
    </w:p>
    <w:p w14:paraId="65DB6785" w14:textId="77777777" w:rsidR="006D0017" w:rsidRDefault="006D0017" w:rsidP="000C4ECE">
      <w:pPr>
        <w:pStyle w:val="KeinLeerraum"/>
        <w:rPr>
          <w:rFonts w:ascii="Calibri" w:hAnsi="Calibri" w:cs="Calibri"/>
          <w:color w:val="0D0D0D" w:themeColor="text1" w:themeTint="F2"/>
          <w:sz w:val="22"/>
          <w:szCs w:val="22"/>
        </w:rPr>
      </w:pPr>
    </w:p>
    <w:p w14:paraId="22984495" w14:textId="710C2CA9" w:rsidR="006D0017" w:rsidRDefault="006D0017"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El cabezal híbrido Cameo OPUS H6 IP y el cabezal de perfil y foco OPUS SP6 IP estarán disponibles a partir de julio de 2026.</w:t>
      </w:r>
    </w:p>
    <w:p w14:paraId="38999E1F" w14:textId="77777777" w:rsidR="00E04C63" w:rsidRPr="008A52C9" w:rsidRDefault="00E04C63" w:rsidP="000C4ECE">
      <w:pPr>
        <w:pStyle w:val="KeinLeerraum"/>
        <w:rPr>
          <w:rFonts w:ascii="Calibri" w:hAnsi="Calibri" w:cs="Calibri"/>
          <w:color w:val="0D0D0D" w:themeColor="text1" w:themeTint="F2"/>
          <w:sz w:val="22"/>
          <w:szCs w:val="22"/>
        </w:rPr>
      </w:pPr>
    </w:p>
    <w:p w14:paraId="5FEAF5D2" w14:textId="788718E4" w:rsidR="006D2E7A" w:rsidRPr="001E7410" w:rsidRDefault="00E62A42" w:rsidP="000C4ECE">
      <w:pPr>
        <w:pStyle w:val="KeinLeerraum"/>
        <w:rPr>
          <w:rFonts w:ascii="Calibri" w:hAnsi="Calibri" w:cs="Calibri"/>
          <w:vanish/>
          <w:color w:val="0D0D0D" w:themeColor="text1" w:themeTint="F2"/>
          <w:sz w:val="22"/>
          <w:szCs w:val="22"/>
        </w:rPr>
      </w:pPr>
      <w:r>
        <w:rPr>
          <w:rFonts w:ascii="Calibri" w:hAnsi="Calibri"/>
          <w:vanish/>
          <w:color w:val="000000" w:themeColor="text1"/>
          <w:sz w:val="22"/>
        </w:rPr>
        <w:t xml:space="preserve">#AdamHallGroup  </w:t>
      </w:r>
      <w:r>
        <w:rPr>
          <w:rFonts w:ascii="Calibri" w:hAnsi="Calibri"/>
          <w:vanish/>
          <w:sz w:val="22"/>
        </w:rPr>
        <w:t xml:space="preserve">#Cameo  #ForLumenBeings  </w:t>
      </w:r>
      <w:r>
        <w:rPr>
          <w:rFonts w:ascii="Calibri" w:hAnsi="Calibri"/>
          <w:vanish/>
          <w:color w:val="0D0D0D" w:themeColor="text1" w:themeTint="F2"/>
          <w:sz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361D4443" w:rsidR="004818CF" w:rsidRDefault="006D2E7A" w:rsidP="000C4ECE">
      <w:pPr>
        <w:rPr>
          <w:rFonts w:ascii="Calibri" w:hAnsi="Calibri"/>
          <w:b/>
          <w:sz w:val="22"/>
        </w:rPr>
      </w:pPr>
      <w:r>
        <w:rPr>
          <w:rFonts w:ascii="Calibri" w:hAnsi="Calibri"/>
          <w:b/>
          <w:sz w:val="22"/>
        </w:rPr>
        <w:t>Más información en:</w:t>
      </w:r>
    </w:p>
    <w:p w14:paraId="27D0D79D" w14:textId="77777777" w:rsidR="00C3448C" w:rsidRPr="005705C6" w:rsidRDefault="00C3448C" w:rsidP="00C3448C">
      <w:pPr>
        <w:rPr>
          <w:rStyle w:val="Hyperlink"/>
          <w:rFonts w:ascii="Calibri" w:hAnsi="Calibri" w:cs="Calibri"/>
          <w:bCs/>
          <w:color w:val="auto"/>
          <w:sz w:val="22"/>
          <w:szCs w:val="22"/>
          <w:u w:val="none"/>
        </w:rPr>
      </w:pPr>
      <w:hyperlink r:id="rId10" w:history="1">
        <w:r w:rsidRPr="005705C6">
          <w:rPr>
            <w:rStyle w:val="Hyperlink"/>
            <w:rFonts w:ascii="Calibri" w:hAnsi="Calibri" w:cs="Calibri"/>
            <w:bCs/>
            <w:sz w:val="22"/>
            <w:szCs w:val="22"/>
          </w:rPr>
          <w:t>cameolight.com/opus-600w-class</w:t>
        </w:r>
      </w:hyperlink>
    </w:p>
    <w:p w14:paraId="3BEA5522" w14:textId="77777777" w:rsidR="00C3448C" w:rsidRPr="005E69B6" w:rsidRDefault="00C3448C" w:rsidP="000C4ECE">
      <w:pPr>
        <w:rPr>
          <w:rStyle w:val="Hyperlink"/>
          <w:rFonts w:ascii="Calibri" w:hAnsi="Calibri" w:cs="Calibri"/>
          <w:b/>
          <w:color w:val="auto"/>
          <w:sz w:val="22"/>
          <w:szCs w:val="22"/>
          <w:u w:val="none"/>
        </w:rPr>
      </w:pPr>
    </w:p>
    <w:p w14:paraId="55862C23" w14:textId="77777777" w:rsidR="00035C36" w:rsidRPr="001E7410" w:rsidRDefault="00035C36" w:rsidP="000C4ECE">
      <w:pPr>
        <w:rPr>
          <w:rStyle w:val="Hyperlink"/>
          <w:rFonts w:ascii="Calibri" w:hAnsi="Calibri" w:cs="Calibri"/>
          <w:vanish/>
          <w:sz w:val="22"/>
          <w:szCs w:val="22"/>
        </w:rPr>
      </w:pPr>
      <w:hyperlink r:id="rId11" w:history="1">
        <w:r>
          <w:rPr>
            <w:rStyle w:val="Hyperlink"/>
            <w:rFonts w:ascii="Calibri" w:hAnsi="Calibri"/>
            <w:vanish/>
            <w:sz w:val="22"/>
          </w:rPr>
          <w:t>cameolight.com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2" w:history="1">
        <w:r>
          <w:rPr>
            <w:rStyle w:val="Hyperlink"/>
            <w:rFonts w:ascii="Calibri" w:hAnsi="Calibri"/>
            <w:vanish/>
            <w:sz w:val="22"/>
          </w:rPr>
          <w:t>adamhall.com</w:t>
        </w:r>
      </w:hyperlink>
      <w:r>
        <w:rPr>
          <w:rFonts w:ascii="Calibri" w:hAnsi="Calibri"/>
          <w:sz w:val="22"/>
          <w:u w:val="single"/>
        </w:rPr>
        <w:br/>
      </w:r>
    </w:p>
    <w:p w14:paraId="3FCDB1A3" w14:textId="77777777" w:rsidR="00035C36" w:rsidRPr="0010551F" w:rsidRDefault="00035C36" w:rsidP="00035C36">
      <w:pPr>
        <w:pStyle w:val="KeinLeerraum"/>
        <w:rPr>
          <w:rFonts w:ascii="Calibri" w:hAnsi="Calibri"/>
          <w:b/>
          <w:color w:val="808080"/>
          <w:sz w:val="18"/>
        </w:rPr>
      </w:pPr>
      <w:r>
        <w:rPr>
          <w:rFonts w:ascii="Calibri" w:hAnsi="Calibri"/>
          <w:b/>
          <w:color w:val="808080"/>
          <w:sz w:val="18"/>
        </w:rPr>
        <w:t>Información sobre Adam Hall Group</w:t>
      </w:r>
    </w:p>
    <w:p w14:paraId="17D8C541" w14:textId="6644651A" w:rsidR="002D3FAB" w:rsidRPr="0010551F" w:rsidRDefault="00035C36" w:rsidP="00035C36">
      <w:pPr>
        <w:pStyle w:val="KeinLeerraum"/>
        <w:rPr>
          <w:rFonts w:ascii="Calibri" w:hAnsi="Calibri"/>
          <w:color w:val="808080"/>
          <w:sz w:val="18"/>
        </w:rPr>
      </w:pPr>
      <w:r>
        <w:rPr>
          <w:rFonts w:ascii="Calibri" w:hAnsi="Calibri"/>
          <w:color w:val="808080"/>
          <w:sz w:val="18"/>
        </w:rPr>
        <w:t xml:space="preserve">Adam Hall Group es un destacado fabricante y distribuidor alemán que ofrece soluciones de tecnología de eventos para clientes comerciales en todo el mundo. Su público objetivo incluye, entre otros, a minoristas, distribuidores B2B, empresas de alquiler y organización de eventos, estudios de televisión, integradores audiovisuales y de sistemas, empresas tanto privadas como públicas y fabricantes de baúles y maletas industriales. La empresa ofrece una amplia gama de tecnologías profesionales de sonido e iluminación, además de equipos de escena y maletas de transporte a través de sus marcas </w:t>
      </w:r>
      <w:r>
        <w:rPr>
          <w:rFonts w:ascii="Calibri" w:hAnsi="Calibri"/>
          <w:b/>
          <w:color w:val="808080"/>
          <w:sz w:val="18"/>
        </w:rPr>
        <w:t>LD Systems®, Cameo®, Gravity®, Defender®, Palmer® y Adam Hall®</w:t>
      </w:r>
      <w:r>
        <w:rPr>
          <w:rFonts w:ascii="Calibri" w:hAnsi="Calibri"/>
          <w:color w:val="808080"/>
          <w:sz w:val="18"/>
        </w:rPr>
        <w:t xml:space="preserve">. Fundada en 1975, Adam Hall Group ha evolucionado hasta convertirse en un grupo de empresas de tecnología de eventos moderno e innovador. El parque logístico situado en la sede central de la empresa, cerca de Fráncfort del Meno, cuenta con más de 14 000 m² de superficie de almacén. Gracias a su enfoque en la creación de valor y en el servicio que presta, Adam Hall Group cuenta ya con toda una serie de premios internacionales concedidos por sus desarrollos innovadores y diseños pioneros por parte de diversas instituciones de prestigio tales como Red Dot, German Design Award e iF Industrie Forum Design. Dispone de más información sobre Adam Hall Group en la web: </w:t>
      </w:r>
    </w:p>
    <w:p w14:paraId="11CC66ED" w14:textId="220C9233" w:rsidR="000C2D39" w:rsidRPr="0010551F" w:rsidRDefault="002D3FAB" w:rsidP="00035C36">
      <w:pPr>
        <w:pStyle w:val="KeinLeerraum"/>
        <w:rPr>
          <w:rFonts w:ascii="Arial" w:hAnsi="Arial"/>
          <w:sz w:val="20"/>
        </w:rPr>
      </w:pPr>
      <w:hyperlink r:id="rId13" w:history="1">
        <w:r>
          <w:rPr>
            <w:rStyle w:val="Hyperlink"/>
            <w:rFonts w:ascii="Calibri" w:hAnsi="Calibri"/>
            <w:sz w:val="18"/>
          </w:rPr>
          <w:t>www.adamhall.com</w:t>
        </w:r>
      </w:hyperlink>
    </w:p>
    <w:sectPr w:rsidR="000C2D39" w:rsidRPr="0010551F"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8CAF" w14:textId="77777777" w:rsidR="00900C87" w:rsidRDefault="00900C87" w:rsidP="004330C6">
      <w:r>
        <w:separator/>
      </w:r>
    </w:p>
  </w:endnote>
  <w:endnote w:type="continuationSeparator" w:id="0">
    <w:p w14:paraId="44A7D80C" w14:textId="77777777" w:rsidR="00900C87" w:rsidRDefault="00900C87" w:rsidP="004330C6">
      <w:r>
        <w:continuationSeparator/>
      </w:r>
    </w:p>
  </w:endnote>
  <w:endnote w:type="continuationNotice" w:id="1">
    <w:p w14:paraId="18B56066" w14:textId="77777777" w:rsidR="00900C87" w:rsidRDefault="00900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900C87">
    <w:pPr>
      <w:pStyle w:val="Fuzeile"/>
    </w:pPr>
    <w:r>
      <w:rPr>
        <w:noProof/>
      </w:rPr>
      <w:pict w14:anchorId="02128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2.1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BEBE" w14:textId="77777777" w:rsidR="00900C87" w:rsidRDefault="00900C87" w:rsidP="004330C6">
      <w:r>
        <w:separator/>
      </w:r>
    </w:p>
  </w:footnote>
  <w:footnote w:type="continuationSeparator" w:id="0">
    <w:p w14:paraId="794A9F88" w14:textId="77777777" w:rsidR="00900C87" w:rsidRDefault="00900C87" w:rsidP="004330C6">
      <w:r>
        <w:continuationSeparator/>
      </w:r>
    </w:p>
  </w:footnote>
  <w:footnote w:type="continuationNotice" w:id="1">
    <w:p w14:paraId="60480A77" w14:textId="77777777" w:rsidR="00900C87" w:rsidRDefault="00900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6833"/>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22D5"/>
    <w:rsid w:val="00055870"/>
    <w:rsid w:val="000619FA"/>
    <w:rsid w:val="00062EA3"/>
    <w:rsid w:val="00064881"/>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2625"/>
    <w:rsid w:val="001139A4"/>
    <w:rsid w:val="001147DE"/>
    <w:rsid w:val="00117B88"/>
    <w:rsid w:val="00117F52"/>
    <w:rsid w:val="00124F49"/>
    <w:rsid w:val="00125139"/>
    <w:rsid w:val="0012597A"/>
    <w:rsid w:val="0012712A"/>
    <w:rsid w:val="0013043A"/>
    <w:rsid w:val="0013306A"/>
    <w:rsid w:val="0013316B"/>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447F"/>
    <w:rsid w:val="00175DBD"/>
    <w:rsid w:val="0018014A"/>
    <w:rsid w:val="00180434"/>
    <w:rsid w:val="001825AB"/>
    <w:rsid w:val="00183575"/>
    <w:rsid w:val="001835CD"/>
    <w:rsid w:val="00184AAC"/>
    <w:rsid w:val="00184D8B"/>
    <w:rsid w:val="001857D9"/>
    <w:rsid w:val="001905C4"/>
    <w:rsid w:val="00190662"/>
    <w:rsid w:val="00195806"/>
    <w:rsid w:val="00197BE9"/>
    <w:rsid w:val="001A1584"/>
    <w:rsid w:val="001B000E"/>
    <w:rsid w:val="001B0461"/>
    <w:rsid w:val="001B40F4"/>
    <w:rsid w:val="001B7E2C"/>
    <w:rsid w:val="001C5825"/>
    <w:rsid w:val="001C5D7F"/>
    <w:rsid w:val="001D3566"/>
    <w:rsid w:val="001D6F99"/>
    <w:rsid w:val="001E51CC"/>
    <w:rsid w:val="001E5871"/>
    <w:rsid w:val="001E7410"/>
    <w:rsid w:val="001E78C5"/>
    <w:rsid w:val="001F0E84"/>
    <w:rsid w:val="001F6832"/>
    <w:rsid w:val="0020235E"/>
    <w:rsid w:val="002034DB"/>
    <w:rsid w:val="002065E7"/>
    <w:rsid w:val="00207525"/>
    <w:rsid w:val="00207ED5"/>
    <w:rsid w:val="00211478"/>
    <w:rsid w:val="00214D38"/>
    <w:rsid w:val="00215123"/>
    <w:rsid w:val="002171CF"/>
    <w:rsid w:val="002176EA"/>
    <w:rsid w:val="002213AF"/>
    <w:rsid w:val="002357CC"/>
    <w:rsid w:val="00236E85"/>
    <w:rsid w:val="00243432"/>
    <w:rsid w:val="00243B58"/>
    <w:rsid w:val="00245175"/>
    <w:rsid w:val="0024622A"/>
    <w:rsid w:val="0024709A"/>
    <w:rsid w:val="00247B14"/>
    <w:rsid w:val="00247EDB"/>
    <w:rsid w:val="00250DB1"/>
    <w:rsid w:val="00253E5A"/>
    <w:rsid w:val="00254E4B"/>
    <w:rsid w:val="00257816"/>
    <w:rsid w:val="00262160"/>
    <w:rsid w:val="0026474A"/>
    <w:rsid w:val="00272775"/>
    <w:rsid w:val="0027394B"/>
    <w:rsid w:val="00273B57"/>
    <w:rsid w:val="00283958"/>
    <w:rsid w:val="00285810"/>
    <w:rsid w:val="0029249A"/>
    <w:rsid w:val="00294074"/>
    <w:rsid w:val="002956B9"/>
    <w:rsid w:val="002968AD"/>
    <w:rsid w:val="00296C60"/>
    <w:rsid w:val="002A03A5"/>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2F27A7"/>
    <w:rsid w:val="00302508"/>
    <w:rsid w:val="00304644"/>
    <w:rsid w:val="00307B69"/>
    <w:rsid w:val="00311A9F"/>
    <w:rsid w:val="00311FA5"/>
    <w:rsid w:val="00312D13"/>
    <w:rsid w:val="00317208"/>
    <w:rsid w:val="0032479F"/>
    <w:rsid w:val="003314F4"/>
    <w:rsid w:val="00334206"/>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09DA"/>
    <w:rsid w:val="00391FEB"/>
    <w:rsid w:val="003920A4"/>
    <w:rsid w:val="00395675"/>
    <w:rsid w:val="003A5A1C"/>
    <w:rsid w:val="003B6792"/>
    <w:rsid w:val="003C1749"/>
    <w:rsid w:val="003C30FF"/>
    <w:rsid w:val="003C3F56"/>
    <w:rsid w:val="003C4CFA"/>
    <w:rsid w:val="003C553A"/>
    <w:rsid w:val="003C7650"/>
    <w:rsid w:val="003D0E72"/>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C610C"/>
    <w:rsid w:val="004D087A"/>
    <w:rsid w:val="004D54E9"/>
    <w:rsid w:val="004E27AD"/>
    <w:rsid w:val="004E2F30"/>
    <w:rsid w:val="004E3841"/>
    <w:rsid w:val="004E5A85"/>
    <w:rsid w:val="004F5412"/>
    <w:rsid w:val="00500C0B"/>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1BE7"/>
    <w:rsid w:val="00583025"/>
    <w:rsid w:val="005925DB"/>
    <w:rsid w:val="005947D3"/>
    <w:rsid w:val="0059564D"/>
    <w:rsid w:val="005A037C"/>
    <w:rsid w:val="005A50AF"/>
    <w:rsid w:val="005A69AD"/>
    <w:rsid w:val="005A6E1F"/>
    <w:rsid w:val="005B49DD"/>
    <w:rsid w:val="005B692A"/>
    <w:rsid w:val="005B6D92"/>
    <w:rsid w:val="005B7BB6"/>
    <w:rsid w:val="005C128F"/>
    <w:rsid w:val="005C2614"/>
    <w:rsid w:val="005C2DF4"/>
    <w:rsid w:val="005C3632"/>
    <w:rsid w:val="005C4A93"/>
    <w:rsid w:val="005D2C9C"/>
    <w:rsid w:val="005D45A1"/>
    <w:rsid w:val="005E130E"/>
    <w:rsid w:val="005E4396"/>
    <w:rsid w:val="005E69B6"/>
    <w:rsid w:val="005E70A1"/>
    <w:rsid w:val="005F2899"/>
    <w:rsid w:val="005F3FF6"/>
    <w:rsid w:val="005F52BA"/>
    <w:rsid w:val="00600743"/>
    <w:rsid w:val="00610CDC"/>
    <w:rsid w:val="00613BA5"/>
    <w:rsid w:val="006173E5"/>
    <w:rsid w:val="00617F32"/>
    <w:rsid w:val="006266E7"/>
    <w:rsid w:val="0063027B"/>
    <w:rsid w:val="00630A7E"/>
    <w:rsid w:val="0063132F"/>
    <w:rsid w:val="00633005"/>
    <w:rsid w:val="00633CC0"/>
    <w:rsid w:val="00640BCD"/>
    <w:rsid w:val="006417A0"/>
    <w:rsid w:val="00645AA1"/>
    <w:rsid w:val="0065238E"/>
    <w:rsid w:val="00652839"/>
    <w:rsid w:val="00652A61"/>
    <w:rsid w:val="006546F9"/>
    <w:rsid w:val="00656CDD"/>
    <w:rsid w:val="00656FB9"/>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0017"/>
    <w:rsid w:val="006D00B3"/>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2B5C"/>
    <w:rsid w:val="007733F5"/>
    <w:rsid w:val="0077345C"/>
    <w:rsid w:val="00775BF5"/>
    <w:rsid w:val="00780A4D"/>
    <w:rsid w:val="00782104"/>
    <w:rsid w:val="00786582"/>
    <w:rsid w:val="00787AEB"/>
    <w:rsid w:val="00793871"/>
    <w:rsid w:val="00794BD0"/>
    <w:rsid w:val="007A2BC9"/>
    <w:rsid w:val="007A3730"/>
    <w:rsid w:val="007A699A"/>
    <w:rsid w:val="007B0975"/>
    <w:rsid w:val="007B31B3"/>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1B8B"/>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3D38"/>
    <w:rsid w:val="008474CD"/>
    <w:rsid w:val="00847D7A"/>
    <w:rsid w:val="00860075"/>
    <w:rsid w:val="008609AD"/>
    <w:rsid w:val="008635C3"/>
    <w:rsid w:val="008709DD"/>
    <w:rsid w:val="00872F41"/>
    <w:rsid w:val="00874426"/>
    <w:rsid w:val="00883B80"/>
    <w:rsid w:val="00886D15"/>
    <w:rsid w:val="00893B77"/>
    <w:rsid w:val="008945F5"/>
    <w:rsid w:val="00895C63"/>
    <w:rsid w:val="00896BAF"/>
    <w:rsid w:val="008A0CC1"/>
    <w:rsid w:val="008A39A3"/>
    <w:rsid w:val="008A52C9"/>
    <w:rsid w:val="008C0CCB"/>
    <w:rsid w:val="008C5A92"/>
    <w:rsid w:val="008D215E"/>
    <w:rsid w:val="008D22AA"/>
    <w:rsid w:val="008D32BB"/>
    <w:rsid w:val="008D54B6"/>
    <w:rsid w:val="008D5D01"/>
    <w:rsid w:val="008E0434"/>
    <w:rsid w:val="008E12E9"/>
    <w:rsid w:val="008E327B"/>
    <w:rsid w:val="008F12AC"/>
    <w:rsid w:val="008F2D79"/>
    <w:rsid w:val="008F3AD1"/>
    <w:rsid w:val="00900C87"/>
    <w:rsid w:val="00904362"/>
    <w:rsid w:val="00905794"/>
    <w:rsid w:val="0090701A"/>
    <w:rsid w:val="00907636"/>
    <w:rsid w:val="0091205F"/>
    <w:rsid w:val="00913A6C"/>
    <w:rsid w:val="0091412C"/>
    <w:rsid w:val="00915E45"/>
    <w:rsid w:val="00915F62"/>
    <w:rsid w:val="00916F1C"/>
    <w:rsid w:val="0091780D"/>
    <w:rsid w:val="00920760"/>
    <w:rsid w:val="00920BFE"/>
    <w:rsid w:val="00923D90"/>
    <w:rsid w:val="0092757C"/>
    <w:rsid w:val="00927B70"/>
    <w:rsid w:val="00933D02"/>
    <w:rsid w:val="00936209"/>
    <w:rsid w:val="00936488"/>
    <w:rsid w:val="009364D0"/>
    <w:rsid w:val="009451A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45034"/>
    <w:rsid w:val="00A57A45"/>
    <w:rsid w:val="00A60861"/>
    <w:rsid w:val="00A65C1E"/>
    <w:rsid w:val="00A65CF8"/>
    <w:rsid w:val="00A70422"/>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17A"/>
    <w:rsid w:val="00AD56FA"/>
    <w:rsid w:val="00AD7EEC"/>
    <w:rsid w:val="00AE0BCA"/>
    <w:rsid w:val="00AE1B28"/>
    <w:rsid w:val="00AE21B2"/>
    <w:rsid w:val="00AE3298"/>
    <w:rsid w:val="00AE6344"/>
    <w:rsid w:val="00AE709C"/>
    <w:rsid w:val="00AE70E8"/>
    <w:rsid w:val="00AF1D62"/>
    <w:rsid w:val="00AF3179"/>
    <w:rsid w:val="00AF5B54"/>
    <w:rsid w:val="00AF613A"/>
    <w:rsid w:val="00AF722F"/>
    <w:rsid w:val="00B00854"/>
    <w:rsid w:val="00B10D83"/>
    <w:rsid w:val="00B11FAA"/>
    <w:rsid w:val="00B25C44"/>
    <w:rsid w:val="00B2691A"/>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78F"/>
    <w:rsid w:val="00BC2C84"/>
    <w:rsid w:val="00BC3124"/>
    <w:rsid w:val="00BC6B91"/>
    <w:rsid w:val="00BD18F0"/>
    <w:rsid w:val="00BE013A"/>
    <w:rsid w:val="00BF05DF"/>
    <w:rsid w:val="00BF34F3"/>
    <w:rsid w:val="00BF3B73"/>
    <w:rsid w:val="00C028A4"/>
    <w:rsid w:val="00C06066"/>
    <w:rsid w:val="00C06D02"/>
    <w:rsid w:val="00C07641"/>
    <w:rsid w:val="00C105C4"/>
    <w:rsid w:val="00C11427"/>
    <w:rsid w:val="00C153B7"/>
    <w:rsid w:val="00C1680C"/>
    <w:rsid w:val="00C20116"/>
    <w:rsid w:val="00C25883"/>
    <w:rsid w:val="00C32875"/>
    <w:rsid w:val="00C3356F"/>
    <w:rsid w:val="00C3448C"/>
    <w:rsid w:val="00C3535E"/>
    <w:rsid w:val="00C378BF"/>
    <w:rsid w:val="00C432CE"/>
    <w:rsid w:val="00C45A5B"/>
    <w:rsid w:val="00C473D0"/>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0398"/>
    <w:rsid w:val="00CB2007"/>
    <w:rsid w:val="00CB35BC"/>
    <w:rsid w:val="00CB3D36"/>
    <w:rsid w:val="00CB3E46"/>
    <w:rsid w:val="00CB4AC6"/>
    <w:rsid w:val="00CB5540"/>
    <w:rsid w:val="00CC4FA9"/>
    <w:rsid w:val="00CD64E8"/>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16F3"/>
    <w:rsid w:val="00D62C85"/>
    <w:rsid w:val="00D63A24"/>
    <w:rsid w:val="00D66E92"/>
    <w:rsid w:val="00D71860"/>
    <w:rsid w:val="00D7514C"/>
    <w:rsid w:val="00D775F8"/>
    <w:rsid w:val="00D80EE3"/>
    <w:rsid w:val="00D832F5"/>
    <w:rsid w:val="00D87DE6"/>
    <w:rsid w:val="00D910C8"/>
    <w:rsid w:val="00D915C1"/>
    <w:rsid w:val="00DA0692"/>
    <w:rsid w:val="00DA2287"/>
    <w:rsid w:val="00DB1D27"/>
    <w:rsid w:val="00DB37E7"/>
    <w:rsid w:val="00DB7529"/>
    <w:rsid w:val="00DB78D0"/>
    <w:rsid w:val="00DC1B36"/>
    <w:rsid w:val="00DD0333"/>
    <w:rsid w:val="00DD0C9B"/>
    <w:rsid w:val="00DD12EB"/>
    <w:rsid w:val="00DD2FF7"/>
    <w:rsid w:val="00DD39A2"/>
    <w:rsid w:val="00DD5DFA"/>
    <w:rsid w:val="00DD6850"/>
    <w:rsid w:val="00DD6960"/>
    <w:rsid w:val="00DE01C7"/>
    <w:rsid w:val="00DE2293"/>
    <w:rsid w:val="00DE22EF"/>
    <w:rsid w:val="00DE25CC"/>
    <w:rsid w:val="00DE295B"/>
    <w:rsid w:val="00DE2FD9"/>
    <w:rsid w:val="00DE5608"/>
    <w:rsid w:val="00DE5CC5"/>
    <w:rsid w:val="00DE7198"/>
    <w:rsid w:val="00DF7668"/>
    <w:rsid w:val="00E04C63"/>
    <w:rsid w:val="00E06A56"/>
    <w:rsid w:val="00E0724D"/>
    <w:rsid w:val="00E07F2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57D1"/>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23A5"/>
    <w:rsid w:val="00EC3A62"/>
    <w:rsid w:val="00ED3A2C"/>
    <w:rsid w:val="00EE0F8A"/>
    <w:rsid w:val="00EE15F3"/>
    <w:rsid w:val="00EE28B0"/>
    <w:rsid w:val="00EE67F6"/>
    <w:rsid w:val="00EF37B4"/>
    <w:rsid w:val="00F00F0C"/>
    <w:rsid w:val="00F00F40"/>
    <w:rsid w:val="00F00FB1"/>
    <w:rsid w:val="00F03B9B"/>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4F71"/>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cameolight.com/opus-600w-clas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6418F-741A-4F6E-8F17-B7177D5BA075}">
  <ds:schemaRefs>
    <ds:schemaRef ds:uri="http://schemas.microsoft.com/sharepoint/v3/contenttype/forms"/>
  </ds:schemaRefs>
</ds:datastoreItem>
</file>

<file path=customXml/itemProps2.xml><?xml version="1.0" encoding="utf-8"?>
<ds:datastoreItem xmlns:ds="http://schemas.openxmlformats.org/officeDocument/2006/customXml" ds:itemID="{57AE7A55-7980-4888-B795-462DDD272B1D}">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1CDCA789-02C9-4A2F-B399-9F983A2F6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782</Words>
  <Characters>4927</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50</cp:revision>
  <cp:lastPrinted>2019-01-10T17:28:00Z</cp:lastPrinted>
  <dcterms:created xsi:type="dcterms:W3CDTF">2024-08-09T08:25:00Z</dcterms:created>
  <dcterms:modified xsi:type="dcterms:W3CDTF">2026-06-18T09:33:00Z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