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E011EE" w:rsidRDefault="004330C6" w:rsidP="003817D3">
      <w:pPr>
        <w:rPr>
          <w:rFonts w:ascii="Arial" w:hAnsi="Arial"/>
          <w:b/>
          <w:sz w:val="28"/>
          <w:bdr w:val="none" w:sz="0" w:space="0" w:color="auto" w:frame="1"/>
        </w:rPr>
      </w:pPr>
      <w:r w:rsidRPr="00E011EE">
        <w:rPr>
          <w:rFonts w:ascii="Calibri" w:hAnsi="Calibri"/>
          <w:sz w:val="52"/>
        </w:rPr>
        <w:t>Press Release</w:t>
      </w:r>
    </w:p>
    <w:p w14:paraId="16383BF3" w14:textId="77777777" w:rsidR="004330C6" w:rsidRPr="00E011EE" w:rsidRDefault="004330C6" w:rsidP="003817D3">
      <w:pPr>
        <w:rPr>
          <w:rFonts w:ascii="Arial" w:hAnsi="Arial"/>
          <w:b/>
          <w:sz w:val="28"/>
          <w:bdr w:val="none" w:sz="0" w:space="0" w:color="auto" w:frame="1"/>
        </w:rPr>
      </w:pPr>
    </w:p>
    <w:p w14:paraId="0660A2A3" w14:textId="77777777" w:rsidR="004330C6" w:rsidRPr="00E011EE" w:rsidRDefault="004330C6" w:rsidP="003817D3">
      <w:pPr>
        <w:rPr>
          <w:rFonts w:ascii="Arial" w:hAnsi="Arial"/>
          <w:b/>
          <w:sz w:val="28"/>
          <w:bdr w:val="none" w:sz="0" w:space="0" w:color="auto" w:frame="1"/>
        </w:rPr>
      </w:pPr>
    </w:p>
    <w:p w14:paraId="468D1619" w14:textId="3327CA5F" w:rsidR="00E3698F" w:rsidRPr="00E011EE" w:rsidRDefault="00A34037" w:rsidP="00E3698F">
      <w:pPr>
        <w:outlineLvl w:val="0"/>
        <w:rPr>
          <w:b/>
          <w:bCs/>
          <w:kern w:val="36"/>
          <w:sz w:val="44"/>
          <w:szCs w:val="44"/>
        </w:rPr>
      </w:pPr>
      <w:r w:rsidRPr="00E011EE">
        <w:rPr>
          <w:rFonts w:ascii="Calibri" w:hAnsi="Calibri"/>
          <w:b/>
          <w:sz w:val="44"/>
        </w:rPr>
        <w:t>Marfa Lights stages the live comeback of Lilas ir Innomine using Cameo</w:t>
      </w:r>
    </w:p>
    <w:p w14:paraId="078C0A85" w14:textId="77777777" w:rsidR="008A52C9" w:rsidRPr="00E011EE" w:rsidRDefault="008A52C9" w:rsidP="008A52C9">
      <w:pPr>
        <w:shd w:val="clear" w:color="auto" w:fill="FFFFFF"/>
        <w:rPr>
          <w:rFonts w:ascii="Calibri" w:hAnsi="Calibri" w:cs="Calibri"/>
          <w:sz w:val="44"/>
          <w:szCs w:val="44"/>
        </w:rPr>
      </w:pPr>
    </w:p>
    <w:p w14:paraId="227C4C56" w14:textId="455DB3D4" w:rsidR="008A52C9" w:rsidRPr="00E011EE" w:rsidRDefault="008A52C9" w:rsidP="00A74A07">
      <w:pPr>
        <w:shd w:val="clear" w:color="auto" w:fill="FFFFFF"/>
        <w:rPr>
          <w:rFonts w:ascii="Calibri" w:hAnsi="Calibri" w:cs="Calibri"/>
          <w:b/>
          <w:bCs/>
          <w:sz w:val="22"/>
          <w:szCs w:val="22"/>
        </w:rPr>
      </w:pPr>
      <w:r w:rsidRPr="00E011EE">
        <w:rPr>
          <w:rFonts w:ascii="Calibri" w:hAnsi="Calibri"/>
          <w:b/>
          <w:sz w:val="22"/>
          <w:bdr w:val="none" w:sz="0" w:space="0" w:color="auto" w:frame="1"/>
        </w:rPr>
        <w:t xml:space="preserve">Neu-Anspach, Germany – 26 February 2026 – </w:t>
      </w:r>
      <w:r w:rsidR="0056366E" w:rsidRPr="0056366E">
        <w:rPr>
          <w:rFonts w:ascii="Calibri" w:hAnsi="Calibri"/>
          <w:b/>
          <w:sz w:val="22"/>
        </w:rPr>
        <w:t>Five years after stepping away from the stage, the hip-hop duo Lilas ir Innomine returned in 2025 with a sold-out open-air concert at Vingis Park in Vilnius.</w:t>
      </w:r>
      <w:r w:rsidR="0056366E" w:rsidRPr="0056366E">
        <w:rPr>
          <w:rFonts w:ascii="Calibri" w:hAnsi="Calibri"/>
          <w:b/>
          <w:sz w:val="22"/>
        </w:rPr>
        <w:t xml:space="preserve"> </w:t>
      </w:r>
      <w:r w:rsidRPr="00E011EE">
        <w:rPr>
          <w:rFonts w:ascii="Calibri" w:hAnsi="Calibri"/>
          <w:b/>
          <w:sz w:val="22"/>
        </w:rPr>
        <w:t>Around 20,000 visitors attended the biggest concert in Lithuanian rap history to date. Marfa Lights was responsible for the lighting and video design on behalf of Baltic Production Service, using a powerful, fully outdoor-capable lighting technology setup from Cameo.</w:t>
      </w:r>
    </w:p>
    <w:p w14:paraId="73DDDDAD" w14:textId="77777777" w:rsidR="008A52C9" w:rsidRPr="00E011EE" w:rsidRDefault="008A52C9" w:rsidP="00A74A07">
      <w:pPr>
        <w:rPr>
          <w:rFonts w:ascii="Calibri" w:hAnsi="Calibri" w:cs="Calibri"/>
          <w:sz w:val="22"/>
          <w:szCs w:val="22"/>
        </w:rPr>
      </w:pPr>
    </w:p>
    <w:p w14:paraId="27EB73B8" w14:textId="49FDC16B" w:rsidR="00F94DD0" w:rsidRPr="0056366E" w:rsidRDefault="0056366E" w:rsidP="00A74A07">
      <w:pPr>
        <w:pStyle w:val="KeinLeerraum"/>
        <w:rPr>
          <w:rFonts w:ascii="Calibri" w:hAnsi="Calibri"/>
          <w:sz w:val="22"/>
        </w:rPr>
      </w:pPr>
      <w:r w:rsidRPr="0056366E">
        <w:rPr>
          <w:rFonts w:ascii="Calibri" w:hAnsi="Calibri"/>
          <w:sz w:val="22"/>
        </w:rPr>
        <w:t>The stage at Vingis Park was more than a conventional concert venue – it became a projection surface for a musical statement. At its centre stood a semicircular structure made up of LED screens, staircases and a catwalk. Choir, dancers, special effects, lighting and video elements were brought together into a cohesive visual concept. The aim was to visually convey the musical dramaturgy of the show surrounding the two protagonists, Konstantinas Kiveris (Lilas) and Rolandas Venckis (Innomine), across all levels.</w:t>
      </w:r>
      <w:r w:rsidR="00E225F4" w:rsidRPr="00E011EE">
        <w:rPr>
          <w:rFonts w:ascii="Calibri" w:hAnsi="Calibri"/>
          <w:sz w:val="22"/>
        </w:rPr>
        <w:t xml:space="preserve"> </w:t>
      </w:r>
    </w:p>
    <w:p w14:paraId="70F05A43" w14:textId="77777777" w:rsidR="00F94DD0" w:rsidRPr="00E011EE" w:rsidRDefault="00F94DD0" w:rsidP="00A74A07">
      <w:pPr>
        <w:pStyle w:val="KeinLeerraum"/>
        <w:rPr>
          <w:rFonts w:ascii="Calibri" w:hAnsi="Calibri" w:cs="Calibri"/>
          <w:sz w:val="22"/>
          <w:szCs w:val="22"/>
        </w:rPr>
      </w:pPr>
    </w:p>
    <w:p w14:paraId="016BD30D" w14:textId="6F8A26FE" w:rsidR="00A22AF1" w:rsidRPr="00E011EE" w:rsidRDefault="00BB34B7" w:rsidP="00A74A07">
      <w:pPr>
        <w:pStyle w:val="KeinLeerraum"/>
        <w:rPr>
          <w:rFonts w:ascii="Calibri" w:hAnsi="Calibri" w:cs="Calibri"/>
          <w:sz w:val="22"/>
          <w:szCs w:val="22"/>
        </w:rPr>
      </w:pPr>
      <w:r w:rsidRPr="00E011EE">
        <w:rPr>
          <w:rFonts w:ascii="Calibri" w:hAnsi="Calibri"/>
          <w:sz w:val="22"/>
        </w:rPr>
        <w:t>“Everything we design visually should contribute to telling the artist’s story,” explains Andrius Stasiulis, founder and lighting designer of Marfa Lights. The team used Cameo ZENIT W300 and ZENIT W600 outdoor LED wash lights, OTOS B5 IP65 beam moving heads and PIXBAR SMD IP G2 LED bars, which were distributed in large numbers across the entire stage set.</w:t>
      </w:r>
    </w:p>
    <w:p w14:paraId="0B6BED29" w14:textId="77777777" w:rsidR="00A22AF1" w:rsidRPr="00E011EE" w:rsidRDefault="00A22AF1" w:rsidP="00A74A07">
      <w:pPr>
        <w:pStyle w:val="KeinLeerraum"/>
        <w:rPr>
          <w:rFonts w:ascii="Calibri" w:hAnsi="Calibri" w:cs="Calibri"/>
          <w:sz w:val="22"/>
          <w:szCs w:val="22"/>
        </w:rPr>
      </w:pPr>
    </w:p>
    <w:p w14:paraId="285B266A" w14:textId="5CFEF2A8" w:rsidR="00CE494A" w:rsidRPr="00E011EE" w:rsidRDefault="00CE494A" w:rsidP="00A74A07">
      <w:pPr>
        <w:pStyle w:val="KeinLeerraum"/>
        <w:rPr>
          <w:rFonts w:ascii="Calibri" w:hAnsi="Calibri" w:cs="Calibri"/>
          <w:sz w:val="22"/>
          <w:szCs w:val="22"/>
        </w:rPr>
      </w:pPr>
      <w:r w:rsidRPr="00E011EE">
        <w:rPr>
          <w:rFonts w:ascii="Calibri" w:hAnsi="Calibri"/>
          <w:sz w:val="22"/>
        </w:rPr>
        <w:t xml:space="preserve">The lighting concept was based on the ZENIT W600. The IP65-certified LED wash lights provided even illumination across the entire width of the stage and had “enough power to light up the entire stadium,” confirms Andrius Stasiulis. Marfa Lights also used ZENIT W300 footlights, which ensured natural skin tones, especially for close-ups on the LED screens. PIXBAR SMD IP G2 LED bars were used for accents, pixel designs and colour gradients, and were cleverly integrated into the stage architecture. </w:t>
      </w:r>
    </w:p>
    <w:p w14:paraId="17E31C13" w14:textId="77777777" w:rsidR="00BB34B7" w:rsidRPr="00E011EE" w:rsidRDefault="00BB34B7" w:rsidP="00A74A07">
      <w:pPr>
        <w:pStyle w:val="KeinLeerraum"/>
        <w:rPr>
          <w:rFonts w:ascii="Calibri" w:hAnsi="Calibri" w:cs="Calibri"/>
          <w:sz w:val="22"/>
          <w:szCs w:val="22"/>
        </w:rPr>
      </w:pPr>
    </w:p>
    <w:p w14:paraId="669A6C3E" w14:textId="57F72D9D" w:rsidR="0042182E" w:rsidRPr="00E011EE" w:rsidRDefault="0042182E" w:rsidP="00A74A07">
      <w:pPr>
        <w:pStyle w:val="KeinLeerraum"/>
        <w:rPr>
          <w:rFonts w:ascii="Calibri" w:hAnsi="Calibri" w:cs="Calibri"/>
          <w:sz w:val="22"/>
          <w:szCs w:val="22"/>
        </w:rPr>
      </w:pPr>
      <w:r w:rsidRPr="00E011EE">
        <w:rPr>
          <w:rFonts w:ascii="Calibri" w:hAnsi="Calibri"/>
          <w:sz w:val="22"/>
        </w:rPr>
        <w:t>The video design was also seamlessly integrated into the overall concept. Based on the grandMA lighting consoles and the Notch and Hippotizer software solutions, Pijus Norušis, video designer at Marfa Lights, created visual sequences that functioned like an extended lighting design: “Because we programmed the video according to the same principles as the light, we were able to create a consistent visual language throughout.”</w:t>
      </w:r>
    </w:p>
    <w:p w14:paraId="12A3D381" w14:textId="77777777" w:rsidR="0042182E" w:rsidRPr="00E011EE" w:rsidRDefault="0042182E" w:rsidP="00A74A07">
      <w:pPr>
        <w:pStyle w:val="KeinLeerraum"/>
        <w:rPr>
          <w:rFonts w:ascii="Calibri" w:hAnsi="Calibri" w:cs="Calibri"/>
          <w:sz w:val="22"/>
          <w:szCs w:val="22"/>
        </w:rPr>
      </w:pPr>
    </w:p>
    <w:p w14:paraId="5FEAF5D2" w14:textId="196281E1" w:rsidR="006D2E7A" w:rsidRPr="00E011EE" w:rsidRDefault="00E62A42" w:rsidP="00A74A07">
      <w:pPr>
        <w:pStyle w:val="KeinLeerraum"/>
        <w:rPr>
          <w:rFonts w:ascii="Calibri" w:hAnsi="Calibri" w:cs="Calibri"/>
          <w:sz w:val="22"/>
          <w:szCs w:val="22"/>
        </w:rPr>
      </w:pPr>
      <w:r w:rsidRPr="00E011EE">
        <w:rPr>
          <w:rFonts w:ascii="Calibri" w:hAnsi="Calibri"/>
          <w:sz w:val="22"/>
        </w:rPr>
        <w:t>#AdamHallGroup  #Cameo  #ForLumenBeings  #EngineeringFascination</w:t>
      </w:r>
    </w:p>
    <w:p w14:paraId="1DAC6DB1" w14:textId="77777777" w:rsidR="00E0724D" w:rsidRPr="00E011EE" w:rsidRDefault="00E0724D" w:rsidP="000C4ECE">
      <w:pPr>
        <w:pStyle w:val="KeinLeerraum"/>
        <w:rPr>
          <w:rFonts w:ascii="Calibri" w:hAnsi="Calibri" w:cs="Calibri"/>
          <w:sz w:val="22"/>
          <w:szCs w:val="22"/>
        </w:rPr>
      </w:pPr>
    </w:p>
    <w:p w14:paraId="2305C462" w14:textId="04E4B87C" w:rsidR="002F20E1" w:rsidRPr="00E011EE" w:rsidRDefault="006D2E7A" w:rsidP="000C4ECE">
      <w:pPr>
        <w:rPr>
          <w:rFonts w:ascii="Calibri" w:hAnsi="Calibri" w:cs="Calibri"/>
          <w:b/>
          <w:sz w:val="22"/>
          <w:szCs w:val="22"/>
        </w:rPr>
      </w:pPr>
      <w:r w:rsidRPr="00E011EE">
        <w:rPr>
          <w:rFonts w:ascii="Calibri" w:hAnsi="Calibri"/>
          <w:b/>
          <w:sz w:val="22"/>
        </w:rPr>
        <w:t xml:space="preserve">Further information: </w:t>
      </w:r>
    </w:p>
    <w:p w14:paraId="7A03D763" w14:textId="77777777" w:rsidR="00F94DD0" w:rsidRPr="00E011EE" w:rsidRDefault="00F94DD0" w:rsidP="00F94DD0">
      <w:pPr>
        <w:rPr>
          <w:rFonts w:ascii="Calibri" w:hAnsi="Calibri" w:cs="Calibri"/>
          <w:sz w:val="22"/>
          <w:szCs w:val="22"/>
          <w:u w:val="single"/>
        </w:rPr>
      </w:pPr>
      <w:hyperlink r:id="rId10" w:history="1">
        <w:r w:rsidRPr="00E011EE">
          <w:rPr>
            <w:rStyle w:val="Hyperlink"/>
            <w:rFonts w:ascii="Calibri" w:hAnsi="Calibri"/>
            <w:color w:val="auto"/>
            <w:sz w:val="22"/>
          </w:rPr>
          <w:t>marfa-lights.com</w:t>
        </w:r>
      </w:hyperlink>
    </w:p>
    <w:p w14:paraId="006AF66B" w14:textId="77777777" w:rsidR="00F94DD0" w:rsidRPr="00E011EE" w:rsidRDefault="00F94DD0" w:rsidP="00F94DD0">
      <w:pPr>
        <w:suppressAutoHyphens/>
        <w:spacing w:line="276" w:lineRule="auto"/>
        <w:rPr>
          <w:rStyle w:val="Hyperlink"/>
          <w:rFonts w:ascii="Calibri" w:hAnsi="Calibri" w:cs="Calibri"/>
          <w:color w:val="auto"/>
          <w:sz w:val="22"/>
          <w:szCs w:val="22"/>
        </w:rPr>
      </w:pPr>
      <w:hyperlink r:id="rId11" w:history="1">
        <w:r w:rsidRPr="00E011EE">
          <w:rPr>
            <w:rStyle w:val="Hyperlink"/>
            <w:rFonts w:ascii="Calibri" w:hAnsi="Calibri"/>
            <w:color w:val="auto"/>
            <w:sz w:val="22"/>
          </w:rPr>
          <w:t>bps.lt</w:t>
        </w:r>
      </w:hyperlink>
    </w:p>
    <w:p w14:paraId="6E7E6E5D" w14:textId="77777777" w:rsidR="004818CF" w:rsidRPr="00E011EE" w:rsidRDefault="004818CF" w:rsidP="000C4ECE">
      <w:pPr>
        <w:rPr>
          <w:rStyle w:val="Hyperlink"/>
          <w:rFonts w:ascii="Calibri" w:hAnsi="Calibri" w:cs="Calibri"/>
          <w:color w:val="auto"/>
          <w:sz w:val="22"/>
          <w:szCs w:val="22"/>
        </w:rPr>
      </w:pPr>
    </w:p>
    <w:p w14:paraId="55862C23" w14:textId="77777777" w:rsidR="00035C36" w:rsidRPr="00E011EE" w:rsidRDefault="00035C36" w:rsidP="000C4ECE">
      <w:pPr>
        <w:rPr>
          <w:rStyle w:val="Hyperlink"/>
          <w:rFonts w:ascii="Calibri" w:hAnsi="Calibri" w:cs="Calibri"/>
          <w:color w:val="auto"/>
          <w:sz w:val="22"/>
          <w:szCs w:val="22"/>
        </w:rPr>
      </w:pPr>
      <w:hyperlink r:id="rId12" w:history="1">
        <w:r w:rsidRPr="00E011EE">
          <w:rPr>
            <w:rStyle w:val="Hyperlink"/>
            <w:rFonts w:ascii="Calibri" w:hAnsi="Calibri"/>
            <w:color w:val="auto"/>
            <w:sz w:val="22"/>
          </w:rPr>
          <w:t>cameolight.com</w:t>
        </w:r>
      </w:hyperlink>
    </w:p>
    <w:p w14:paraId="553130F3" w14:textId="465A20EA" w:rsidR="00035C36" w:rsidRPr="00E011EE" w:rsidRDefault="00035C36" w:rsidP="004330C6">
      <w:pPr>
        <w:rPr>
          <w:rStyle w:val="Hyperlink"/>
          <w:rFonts w:ascii="Calibri" w:eastAsia="Arial" w:hAnsi="Calibri" w:cs="Calibri"/>
          <w:b/>
          <w:bCs/>
          <w:color w:val="auto"/>
          <w:sz w:val="22"/>
          <w:szCs w:val="22"/>
          <w:u w:val="none"/>
        </w:rPr>
      </w:pPr>
      <w:hyperlink r:id="rId13" w:history="1">
        <w:r w:rsidRPr="00E011EE">
          <w:rPr>
            <w:rStyle w:val="Hyperlink"/>
            <w:rFonts w:ascii="Calibri" w:hAnsi="Calibri"/>
            <w:color w:val="auto"/>
            <w:sz w:val="22"/>
          </w:rPr>
          <w:t>adamhall.com</w:t>
        </w:r>
      </w:hyperlink>
      <w:r w:rsidRPr="00E011EE">
        <w:rPr>
          <w:rFonts w:ascii="Calibri" w:hAnsi="Calibri"/>
          <w:sz w:val="22"/>
          <w:u w:val="single"/>
        </w:rPr>
        <w:br/>
      </w:r>
    </w:p>
    <w:p w14:paraId="6067998B" w14:textId="77777777" w:rsidR="0056366E" w:rsidRPr="00766A18" w:rsidRDefault="0056366E" w:rsidP="0056366E">
      <w:pPr>
        <w:pStyle w:val="KeinLeerraum"/>
        <w:rPr>
          <w:rFonts w:ascii="Calibri" w:hAnsi="Calibri"/>
          <w:b/>
          <w:color w:val="808080"/>
          <w:sz w:val="18"/>
        </w:rPr>
      </w:pPr>
      <w:r>
        <w:rPr>
          <w:rFonts w:ascii="Calibri" w:hAnsi="Calibri"/>
          <w:b/>
          <w:color w:val="808080"/>
          <w:sz w:val="18"/>
        </w:rPr>
        <w:t>About the Adam Hall Group</w:t>
      </w:r>
    </w:p>
    <w:p w14:paraId="017A5206" w14:textId="77777777" w:rsidR="0056366E" w:rsidRPr="00D31732" w:rsidRDefault="0056366E" w:rsidP="0056366E">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7583E7FC" w:rsidR="000C2D39" w:rsidRPr="00E011EE" w:rsidRDefault="000C2D39" w:rsidP="0056366E">
      <w:pPr>
        <w:pStyle w:val="KeinLeerraum"/>
        <w:rPr>
          <w:rFonts w:ascii="Arial" w:hAnsi="Arial"/>
          <w:color w:val="ED7D31" w:themeColor="accent2"/>
          <w:sz w:val="20"/>
        </w:rPr>
      </w:pPr>
    </w:p>
    <w:sectPr w:rsidR="000C2D39" w:rsidRPr="00E011EE"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136BB" w14:textId="77777777" w:rsidR="00827E70" w:rsidRDefault="00827E70" w:rsidP="004330C6">
      <w:r>
        <w:separator/>
      </w:r>
    </w:p>
  </w:endnote>
  <w:endnote w:type="continuationSeparator" w:id="0">
    <w:p w14:paraId="3591DD2E" w14:textId="77777777" w:rsidR="00827E70" w:rsidRDefault="00827E70" w:rsidP="004330C6">
      <w:r>
        <w:continuationSeparator/>
      </w:r>
    </w:p>
  </w:endnote>
  <w:endnote w:type="continuationNotice" w:id="1">
    <w:p w14:paraId="7E492AE5" w14:textId="77777777" w:rsidR="00827E70" w:rsidRDefault="00827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827E70">
    <w:pPr>
      <w:pStyle w:val="Fuzeile"/>
    </w:pPr>
    <w:r>
      <w:rPr>
        <w:noProof/>
      </w:rPr>
      <w:pict w14:anchorId="4CF9F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2.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7B8A0" w14:textId="77777777" w:rsidR="00827E70" w:rsidRDefault="00827E70" w:rsidP="004330C6">
      <w:r>
        <w:separator/>
      </w:r>
    </w:p>
  </w:footnote>
  <w:footnote w:type="continuationSeparator" w:id="0">
    <w:p w14:paraId="6202E872" w14:textId="77777777" w:rsidR="00827E70" w:rsidRDefault="00827E70" w:rsidP="004330C6">
      <w:r>
        <w:continuationSeparator/>
      </w:r>
    </w:p>
  </w:footnote>
  <w:footnote w:type="continuationNotice" w:id="1">
    <w:p w14:paraId="1B7BA232" w14:textId="77777777" w:rsidR="00827E70" w:rsidRDefault="00827E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5D07"/>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0B88"/>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65DE"/>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060C"/>
    <w:rsid w:val="002B2157"/>
    <w:rsid w:val="002B49DF"/>
    <w:rsid w:val="002B4A3E"/>
    <w:rsid w:val="002B520A"/>
    <w:rsid w:val="002C1AB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182E"/>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20F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55937"/>
    <w:rsid w:val="0056153C"/>
    <w:rsid w:val="0056366E"/>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67BD8"/>
    <w:rsid w:val="00771066"/>
    <w:rsid w:val="007733F5"/>
    <w:rsid w:val="0077345C"/>
    <w:rsid w:val="00775814"/>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E70"/>
    <w:rsid w:val="00827FBE"/>
    <w:rsid w:val="00840293"/>
    <w:rsid w:val="008474CD"/>
    <w:rsid w:val="00847702"/>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48BA"/>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09F5"/>
    <w:rsid w:val="00A16D84"/>
    <w:rsid w:val="00A17E32"/>
    <w:rsid w:val="00A20120"/>
    <w:rsid w:val="00A22AF1"/>
    <w:rsid w:val="00A26BDE"/>
    <w:rsid w:val="00A34037"/>
    <w:rsid w:val="00A57A45"/>
    <w:rsid w:val="00A60861"/>
    <w:rsid w:val="00A646E7"/>
    <w:rsid w:val="00A65C1E"/>
    <w:rsid w:val="00A65CF8"/>
    <w:rsid w:val="00A71674"/>
    <w:rsid w:val="00A71B6D"/>
    <w:rsid w:val="00A738EB"/>
    <w:rsid w:val="00A74A07"/>
    <w:rsid w:val="00A76EE1"/>
    <w:rsid w:val="00A8032D"/>
    <w:rsid w:val="00A80E31"/>
    <w:rsid w:val="00A836AE"/>
    <w:rsid w:val="00A83F72"/>
    <w:rsid w:val="00A85561"/>
    <w:rsid w:val="00A90641"/>
    <w:rsid w:val="00A92A0A"/>
    <w:rsid w:val="00A947D9"/>
    <w:rsid w:val="00AA2256"/>
    <w:rsid w:val="00AA3B63"/>
    <w:rsid w:val="00AA4261"/>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40063"/>
    <w:rsid w:val="00B42DDB"/>
    <w:rsid w:val="00B43B48"/>
    <w:rsid w:val="00B44838"/>
    <w:rsid w:val="00B44D8F"/>
    <w:rsid w:val="00B65C34"/>
    <w:rsid w:val="00B66C4C"/>
    <w:rsid w:val="00B712D5"/>
    <w:rsid w:val="00B74DAC"/>
    <w:rsid w:val="00B76096"/>
    <w:rsid w:val="00B86400"/>
    <w:rsid w:val="00B90825"/>
    <w:rsid w:val="00B943F0"/>
    <w:rsid w:val="00B948C9"/>
    <w:rsid w:val="00B96881"/>
    <w:rsid w:val="00B96A50"/>
    <w:rsid w:val="00BA4479"/>
    <w:rsid w:val="00BA750F"/>
    <w:rsid w:val="00BA761B"/>
    <w:rsid w:val="00BB34B7"/>
    <w:rsid w:val="00BB4DA0"/>
    <w:rsid w:val="00BB56CB"/>
    <w:rsid w:val="00BB6E8F"/>
    <w:rsid w:val="00BC2C84"/>
    <w:rsid w:val="00BC3124"/>
    <w:rsid w:val="00BC6B91"/>
    <w:rsid w:val="00BD18F0"/>
    <w:rsid w:val="00BE013A"/>
    <w:rsid w:val="00BE3EA6"/>
    <w:rsid w:val="00BF05DF"/>
    <w:rsid w:val="00BF34F3"/>
    <w:rsid w:val="00BF3B73"/>
    <w:rsid w:val="00C028A4"/>
    <w:rsid w:val="00C04CDE"/>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7778D"/>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494A"/>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4E68"/>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11EE"/>
    <w:rsid w:val="00E06A56"/>
    <w:rsid w:val="00E0724D"/>
    <w:rsid w:val="00E1081B"/>
    <w:rsid w:val="00E10C04"/>
    <w:rsid w:val="00E14B8C"/>
    <w:rsid w:val="00E1626C"/>
    <w:rsid w:val="00E225F4"/>
    <w:rsid w:val="00E23629"/>
    <w:rsid w:val="00E24D88"/>
    <w:rsid w:val="00E26542"/>
    <w:rsid w:val="00E269A9"/>
    <w:rsid w:val="00E26CE9"/>
    <w:rsid w:val="00E3698F"/>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D09"/>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4DD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meoligh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ps.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marfa-light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24529-F007-4A73-A97C-F82CA99E4947}">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2B7E53E2-154A-432E-8308-7A2376B5B35F}">
  <ds:schemaRefs>
    <ds:schemaRef ds:uri="http://schemas.microsoft.com/sharepoint/v3/contenttype/forms"/>
  </ds:schemaRefs>
</ds:datastoreItem>
</file>

<file path=customXml/itemProps3.xml><?xml version="1.0" encoding="utf-8"?>
<ds:datastoreItem xmlns:ds="http://schemas.openxmlformats.org/officeDocument/2006/customXml" ds:itemID="{CA81EE8D-6D1C-436C-B42E-7749A3C7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3542</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cp:revision>
  <cp:lastPrinted>2019-01-10T17:28:00Z</cp:lastPrinted>
  <dcterms:created xsi:type="dcterms:W3CDTF">2026-02-19T13:38:00Z</dcterms:created>
  <dcterms:modified xsi:type="dcterms:W3CDTF">2026-02-25T10:22:00Z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