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468D1619" w14:textId="3327CA5F" w:rsidR="00E3698F" w:rsidRDefault="00A34037" w:rsidP="00E3698F">
      <w:pPr>
        <w:outlineLvl w:val="0"/>
        <w:rPr>
          <w:b/>
          <w:bCs/>
          <w:kern w:val="36"/>
          <w:sz w:val="44"/>
          <w:szCs w:val="44"/>
        </w:rPr>
      </w:pPr>
      <w:r>
        <w:rPr>
          <w:rFonts w:ascii="Calibri" w:hAnsi="Calibri" w:cs="Calibri"/>
          <w:b/>
          <w:bCs/>
          <w:kern w:val="36"/>
          <w:sz w:val="44"/>
          <w:szCs w:val="44"/>
        </w:rPr>
        <w:t>Marfa Lights inszenieren das Live-Comeback von</w:t>
      </w:r>
      <w:r w:rsidR="00E3698F" w:rsidRPr="00F31FB3">
        <w:rPr>
          <w:rFonts w:ascii="Calibri" w:hAnsi="Calibri" w:cs="Calibri"/>
          <w:b/>
          <w:bCs/>
          <w:kern w:val="36"/>
          <w:sz w:val="44"/>
          <w:szCs w:val="44"/>
        </w:rPr>
        <w:t xml:space="preserve"> </w:t>
      </w:r>
      <w:r>
        <w:rPr>
          <w:rFonts w:ascii="Calibri" w:hAnsi="Calibri" w:cs="Calibri"/>
          <w:b/>
          <w:bCs/>
          <w:kern w:val="36"/>
          <w:sz w:val="44"/>
          <w:szCs w:val="44"/>
        </w:rPr>
        <w:t>Lilas ir Innomine</w:t>
      </w:r>
      <w:r w:rsidR="00E3698F" w:rsidRPr="00F31FB3">
        <w:rPr>
          <w:rFonts w:ascii="Calibri" w:hAnsi="Calibri" w:cs="Calibri"/>
          <w:b/>
          <w:bCs/>
          <w:kern w:val="36"/>
          <w:sz w:val="44"/>
          <w:szCs w:val="44"/>
        </w:rPr>
        <w:t xml:space="preserve"> mit Cameo</w:t>
      </w:r>
    </w:p>
    <w:p w14:paraId="078C0A85" w14:textId="77777777" w:rsidR="008A52C9" w:rsidRPr="008A52C9" w:rsidRDefault="008A52C9" w:rsidP="008A52C9">
      <w:pPr>
        <w:shd w:val="clear" w:color="auto" w:fill="FFFFFF"/>
        <w:rPr>
          <w:rFonts w:ascii="Calibri" w:hAnsi="Calibri" w:cs="Calibri"/>
          <w:color w:val="000000" w:themeColor="text1"/>
          <w:sz w:val="44"/>
          <w:szCs w:val="44"/>
        </w:rPr>
      </w:pPr>
    </w:p>
    <w:p w14:paraId="227C4C56" w14:textId="1B2A77B2" w:rsidR="008A52C9" w:rsidRPr="00977412" w:rsidRDefault="008A52C9" w:rsidP="00A74A07">
      <w:pPr>
        <w:shd w:val="clear" w:color="auto" w:fill="FFFFFF"/>
        <w:rPr>
          <w:rFonts w:ascii="Calibri" w:hAnsi="Calibri" w:cs="Calibri"/>
          <w:b/>
          <w:bCs/>
          <w:sz w:val="22"/>
          <w:szCs w:val="22"/>
        </w:rPr>
      </w:pPr>
      <w:r w:rsidRPr="00A74A07">
        <w:rPr>
          <w:rFonts w:ascii="Calibri" w:hAnsi="Calibri" w:cs="Calibri"/>
          <w:b/>
          <w:color w:val="0D0D0D" w:themeColor="text1" w:themeTint="F2"/>
          <w:sz w:val="22"/>
          <w:szCs w:val="22"/>
          <w:bdr w:val="none" w:sz="0" w:space="0" w:color="auto" w:frame="1"/>
        </w:rPr>
        <w:t>Neu-Anspach</w:t>
      </w:r>
      <w:r w:rsidR="00977412">
        <w:rPr>
          <w:rFonts w:ascii="Calibri" w:hAnsi="Calibri" w:cs="Calibri"/>
          <w:b/>
          <w:color w:val="0D0D0D" w:themeColor="text1" w:themeTint="F2"/>
          <w:sz w:val="22"/>
          <w:szCs w:val="22"/>
          <w:bdr w:val="none" w:sz="0" w:space="0" w:color="auto" w:frame="1"/>
        </w:rPr>
        <w:t xml:space="preserve">, Deutschland </w:t>
      </w:r>
      <w:r w:rsidRPr="00A74A07">
        <w:rPr>
          <w:rFonts w:ascii="Calibri" w:hAnsi="Calibri" w:cs="Calibri"/>
          <w:b/>
          <w:color w:val="0D0D0D" w:themeColor="text1" w:themeTint="F2"/>
          <w:sz w:val="22"/>
          <w:szCs w:val="22"/>
          <w:bdr w:val="none" w:sz="0" w:space="0" w:color="auto" w:frame="1"/>
        </w:rPr>
        <w:t>–</w:t>
      </w:r>
      <w:r w:rsidRPr="00A74A07">
        <w:rPr>
          <w:rFonts w:ascii="Calibri" w:hAnsi="Calibri" w:cs="Calibri"/>
          <w:b/>
          <w:color w:val="FF0000"/>
          <w:sz w:val="22"/>
          <w:szCs w:val="22"/>
          <w:bdr w:val="none" w:sz="0" w:space="0" w:color="auto" w:frame="1"/>
        </w:rPr>
        <w:t xml:space="preserve"> </w:t>
      </w:r>
      <w:r w:rsidR="00977412">
        <w:rPr>
          <w:rFonts w:ascii="Calibri" w:hAnsi="Calibri" w:cs="Calibri"/>
          <w:b/>
          <w:color w:val="000000" w:themeColor="text1"/>
          <w:sz w:val="22"/>
          <w:szCs w:val="22"/>
          <w:bdr w:val="none" w:sz="0" w:space="0" w:color="auto" w:frame="1"/>
        </w:rPr>
        <w:t>26.</w:t>
      </w:r>
      <w:r w:rsidRPr="00A74A07">
        <w:rPr>
          <w:rFonts w:ascii="Calibri" w:hAnsi="Calibri" w:cs="Calibri"/>
          <w:b/>
          <w:color w:val="000000" w:themeColor="text1"/>
          <w:sz w:val="22"/>
          <w:szCs w:val="22"/>
          <w:bdr w:val="none" w:sz="0" w:space="0" w:color="auto" w:frame="1"/>
        </w:rPr>
        <w:t xml:space="preserve"> </w:t>
      </w:r>
      <w:r w:rsidR="00AA4261">
        <w:rPr>
          <w:rFonts w:ascii="Calibri" w:hAnsi="Calibri" w:cs="Calibri"/>
          <w:b/>
          <w:color w:val="000000" w:themeColor="text1"/>
          <w:sz w:val="22"/>
          <w:szCs w:val="22"/>
          <w:bdr w:val="none" w:sz="0" w:space="0" w:color="auto" w:frame="1"/>
        </w:rPr>
        <w:t>Februar</w:t>
      </w:r>
      <w:r w:rsidRPr="00A74A07">
        <w:rPr>
          <w:rFonts w:ascii="Calibri" w:hAnsi="Calibri" w:cs="Calibri"/>
          <w:b/>
          <w:color w:val="000000" w:themeColor="text1"/>
          <w:sz w:val="22"/>
          <w:szCs w:val="22"/>
          <w:bdr w:val="none" w:sz="0" w:space="0" w:color="auto" w:frame="1"/>
        </w:rPr>
        <w:t xml:space="preserve"> 202</w:t>
      </w:r>
      <w:r w:rsidR="00AA4261">
        <w:rPr>
          <w:rFonts w:ascii="Calibri" w:hAnsi="Calibri" w:cs="Calibri"/>
          <w:b/>
          <w:color w:val="000000" w:themeColor="text1"/>
          <w:sz w:val="22"/>
          <w:szCs w:val="22"/>
          <w:bdr w:val="none" w:sz="0" w:space="0" w:color="auto" w:frame="1"/>
        </w:rPr>
        <w:t>6</w:t>
      </w:r>
      <w:r w:rsidR="00E3698F" w:rsidRPr="00A74A07">
        <w:rPr>
          <w:rFonts w:ascii="Calibri" w:hAnsi="Calibri" w:cs="Calibri"/>
          <w:b/>
          <w:color w:val="000000" w:themeColor="text1"/>
          <w:sz w:val="22"/>
          <w:szCs w:val="22"/>
          <w:bdr w:val="none" w:sz="0" w:space="0" w:color="auto" w:frame="1"/>
        </w:rPr>
        <w:t xml:space="preserve"> </w:t>
      </w:r>
      <w:r w:rsidRPr="00A74A07">
        <w:rPr>
          <w:rFonts w:ascii="Calibri" w:hAnsi="Calibri" w:cs="Calibri"/>
          <w:b/>
          <w:color w:val="0D0D0D" w:themeColor="text1" w:themeTint="F2"/>
          <w:sz w:val="22"/>
          <w:szCs w:val="22"/>
          <w:bdr w:val="none" w:sz="0" w:space="0" w:color="auto" w:frame="1"/>
        </w:rPr>
        <w:t xml:space="preserve">– </w:t>
      </w:r>
      <w:r w:rsidR="00A34037" w:rsidRPr="00A34037">
        <w:rPr>
          <w:rFonts w:ascii="Calibri" w:hAnsi="Calibri" w:cs="Calibri"/>
          <w:b/>
          <w:bCs/>
          <w:sz w:val="22"/>
          <w:szCs w:val="22"/>
        </w:rPr>
        <w:t xml:space="preserve">Fünf Jahre nach </w:t>
      </w:r>
      <w:r w:rsidR="00E75B7F">
        <w:rPr>
          <w:rFonts w:ascii="Calibri" w:hAnsi="Calibri" w:cs="Calibri"/>
          <w:b/>
          <w:bCs/>
          <w:sz w:val="22"/>
          <w:szCs w:val="22"/>
        </w:rPr>
        <w:t>seinem</w:t>
      </w:r>
      <w:r w:rsidR="00A34037" w:rsidRPr="00A34037">
        <w:rPr>
          <w:rFonts w:ascii="Calibri" w:hAnsi="Calibri" w:cs="Calibri"/>
          <w:b/>
          <w:bCs/>
          <w:sz w:val="22"/>
          <w:szCs w:val="22"/>
        </w:rPr>
        <w:t xml:space="preserve"> Bühnenrückzug kehrte</w:t>
      </w:r>
      <w:r w:rsidR="000555EE">
        <w:rPr>
          <w:rFonts w:ascii="Calibri" w:hAnsi="Calibri" w:cs="Calibri"/>
          <w:b/>
          <w:bCs/>
          <w:sz w:val="22"/>
          <w:szCs w:val="22"/>
        </w:rPr>
        <w:t xml:space="preserve"> </w:t>
      </w:r>
      <w:r w:rsidR="00E75B7F" w:rsidRPr="00977412">
        <w:rPr>
          <w:rFonts w:ascii="Calibri" w:hAnsi="Calibri" w:cs="Calibri"/>
          <w:b/>
          <w:bCs/>
          <w:sz w:val="22"/>
          <w:szCs w:val="22"/>
        </w:rPr>
        <w:t>das</w:t>
      </w:r>
      <w:r w:rsidR="000555EE" w:rsidRPr="00977412">
        <w:rPr>
          <w:rFonts w:ascii="Calibri" w:hAnsi="Calibri" w:cs="Calibri"/>
          <w:b/>
          <w:bCs/>
          <w:sz w:val="22"/>
          <w:szCs w:val="22"/>
        </w:rPr>
        <w:t xml:space="preserve"> Hip-Hop-</w:t>
      </w:r>
      <w:r w:rsidR="00E75B7F" w:rsidRPr="00977412">
        <w:rPr>
          <w:rFonts w:ascii="Calibri" w:hAnsi="Calibri" w:cs="Calibri"/>
          <w:b/>
          <w:bCs/>
          <w:sz w:val="22"/>
          <w:szCs w:val="22"/>
        </w:rPr>
        <w:t>Du</w:t>
      </w:r>
      <w:r w:rsidR="00977412" w:rsidRPr="00977412">
        <w:rPr>
          <w:rFonts w:ascii="Calibri" w:hAnsi="Calibri" w:cs="Calibri"/>
          <w:b/>
          <w:bCs/>
          <w:sz w:val="22"/>
          <w:szCs w:val="22"/>
        </w:rPr>
        <w:t>o</w:t>
      </w:r>
      <w:r w:rsidR="00A34037" w:rsidRPr="00977412">
        <w:rPr>
          <w:rFonts w:ascii="Calibri" w:hAnsi="Calibri" w:cs="Calibri"/>
          <w:b/>
          <w:bCs/>
          <w:sz w:val="22"/>
          <w:szCs w:val="22"/>
        </w:rPr>
        <w:t xml:space="preserve"> Lilas ir Innomine 2025 mit einem ausverkauften Open-Air-Konzert im Vingis Park in Vilnius zurück. Rund 20.000 Besucher erlebten das bislang größte Konzert der litauischen Rap-Geschichte. Für Licht- und Videodesign zeichnete Marfa Lights im Auftrag von Baltic Production Service verantwortlich. Zum Einsatz kam ein leistungsstarkes, voll outdoortaugliches Lichttechnik-Setup von Cameo.</w:t>
      </w:r>
    </w:p>
    <w:p w14:paraId="73DDDDAD" w14:textId="77777777" w:rsidR="008A52C9" w:rsidRPr="00977412" w:rsidRDefault="008A52C9" w:rsidP="00A74A07">
      <w:pPr>
        <w:rPr>
          <w:rFonts w:ascii="Calibri" w:hAnsi="Calibri" w:cs="Calibri"/>
          <w:sz w:val="22"/>
          <w:szCs w:val="22"/>
        </w:rPr>
      </w:pPr>
    </w:p>
    <w:p w14:paraId="27EB73B8" w14:textId="651F7FB3" w:rsidR="00F94DD0" w:rsidRDefault="00297A48" w:rsidP="00A74A07">
      <w:pPr>
        <w:pStyle w:val="KeinLeerraum"/>
        <w:rPr>
          <w:rFonts w:ascii="Calibri" w:hAnsi="Calibri" w:cs="Calibri"/>
          <w:color w:val="0D0D0D" w:themeColor="text1" w:themeTint="F2"/>
          <w:sz w:val="22"/>
          <w:szCs w:val="22"/>
        </w:rPr>
      </w:pPr>
      <w:r w:rsidRPr="00977412">
        <w:rPr>
          <w:rFonts w:ascii="Calibri" w:hAnsi="Calibri" w:cs="Calibri"/>
          <w:color w:val="0D0D0D" w:themeColor="text1" w:themeTint="F2"/>
          <w:sz w:val="22"/>
          <w:szCs w:val="22"/>
        </w:rPr>
        <w:t xml:space="preserve">Die Bühne im Vingis Park war mehr als ein normaler Konzertort – sie wurde zur Projektionsfläche für ein musikalisches Statement: </w:t>
      </w:r>
      <w:r w:rsidR="00E225F4" w:rsidRPr="00977412">
        <w:rPr>
          <w:rFonts w:ascii="Calibri" w:hAnsi="Calibri" w:cs="Calibri"/>
          <w:color w:val="0D0D0D" w:themeColor="text1" w:themeTint="F2"/>
          <w:sz w:val="22"/>
          <w:szCs w:val="22"/>
        </w:rPr>
        <w:t xml:space="preserve">Im Zentrum stand eine halbkreisförmige </w:t>
      </w:r>
      <w:r w:rsidRPr="00977412">
        <w:rPr>
          <w:rFonts w:ascii="Calibri" w:hAnsi="Calibri" w:cs="Calibri"/>
          <w:color w:val="0D0D0D" w:themeColor="text1" w:themeTint="F2"/>
          <w:sz w:val="22"/>
          <w:szCs w:val="22"/>
        </w:rPr>
        <w:t>Konstruktion</w:t>
      </w:r>
      <w:r w:rsidR="00E225F4" w:rsidRPr="00977412">
        <w:rPr>
          <w:rFonts w:ascii="Calibri" w:hAnsi="Calibri" w:cs="Calibri"/>
          <w:color w:val="0D0D0D" w:themeColor="text1" w:themeTint="F2"/>
          <w:sz w:val="22"/>
          <w:szCs w:val="22"/>
        </w:rPr>
        <w:t xml:space="preserve"> </w:t>
      </w:r>
      <w:r w:rsidRPr="00977412">
        <w:rPr>
          <w:rFonts w:ascii="Calibri" w:hAnsi="Calibri" w:cs="Calibri"/>
          <w:color w:val="0D0D0D" w:themeColor="text1" w:themeTint="F2"/>
          <w:sz w:val="22"/>
          <w:szCs w:val="22"/>
        </w:rPr>
        <w:t>aus</w:t>
      </w:r>
      <w:r w:rsidR="00E225F4" w:rsidRPr="00977412">
        <w:rPr>
          <w:rFonts w:ascii="Calibri" w:hAnsi="Calibri" w:cs="Calibri"/>
          <w:color w:val="0D0D0D" w:themeColor="text1" w:themeTint="F2"/>
          <w:sz w:val="22"/>
          <w:szCs w:val="22"/>
        </w:rPr>
        <w:t xml:space="preserve"> LED-Screens, Treppen und Catwalk. Chor, Tänzer, Spezialeffekte, Licht und Videoelemente wurden zu einem durchgängigen visuellen Konzept verbunden. Ziel war es, die musikalische Dramaturgie der Show </w:t>
      </w:r>
      <w:r w:rsidR="00CF357D" w:rsidRPr="00977412">
        <w:rPr>
          <w:rFonts w:ascii="Calibri" w:hAnsi="Calibri" w:cs="Calibri"/>
          <w:color w:val="0D0D0D" w:themeColor="text1" w:themeTint="F2"/>
          <w:sz w:val="22"/>
          <w:szCs w:val="22"/>
        </w:rPr>
        <w:t xml:space="preserve">um die </w:t>
      </w:r>
      <w:r w:rsidR="00F220D2" w:rsidRPr="00977412">
        <w:rPr>
          <w:rFonts w:ascii="Calibri" w:hAnsi="Calibri" w:cs="Calibri"/>
          <w:color w:val="0D0D0D" w:themeColor="text1" w:themeTint="F2"/>
          <w:sz w:val="22"/>
          <w:szCs w:val="22"/>
        </w:rPr>
        <w:t>beiden Protagonisten Konstantinas Kiveris-Lila</w:t>
      </w:r>
      <w:r w:rsidR="00521C97" w:rsidRPr="00977412">
        <w:rPr>
          <w:rFonts w:ascii="Calibri" w:hAnsi="Calibri" w:cs="Calibri"/>
          <w:color w:val="0D0D0D" w:themeColor="text1" w:themeTint="F2"/>
          <w:sz w:val="22"/>
          <w:szCs w:val="22"/>
        </w:rPr>
        <w:t>s</w:t>
      </w:r>
      <w:r w:rsidR="00F220D2" w:rsidRPr="00977412">
        <w:rPr>
          <w:rFonts w:ascii="Calibri" w:hAnsi="Calibri" w:cs="Calibri"/>
          <w:color w:val="0D0D0D" w:themeColor="text1" w:themeTint="F2"/>
          <w:sz w:val="22"/>
          <w:szCs w:val="22"/>
        </w:rPr>
        <w:t xml:space="preserve"> und Rolandas Venckis-Innomine </w:t>
      </w:r>
      <w:r w:rsidR="00E225F4" w:rsidRPr="00977412">
        <w:rPr>
          <w:rFonts w:ascii="Calibri" w:hAnsi="Calibri" w:cs="Calibri"/>
          <w:color w:val="0D0D0D" w:themeColor="text1" w:themeTint="F2"/>
          <w:sz w:val="22"/>
          <w:szCs w:val="22"/>
        </w:rPr>
        <w:t xml:space="preserve">auch visuell </w:t>
      </w:r>
      <w:r w:rsidR="00BB34B7" w:rsidRPr="00977412">
        <w:rPr>
          <w:rFonts w:ascii="Calibri" w:hAnsi="Calibri" w:cs="Calibri"/>
          <w:color w:val="0D0D0D" w:themeColor="text1" w:themeTint="F2"/>
          <w:sz w:val="22"/>
          <w:szCs w:val="22"/>
        </w:rPr>
        <w:t xml:space="preserve">auf sämtlichen Ebenen </w:t>
      </w:r>
      <w:r w:rsidR="00E225F4" w:rsidRPr="00977412">
        <w:rPr>
          <w:rFonts w:ascii="Calibri" w:hAnsi="Calibri" w:cs="Calibri"/>
          <w:color w:val="0D0D0D" w:themeColor="text1" w:themeTint="F2"/>
          <w:sz w:val="22"/>
          <w:szCs w:val="22"/>
        </w:rPr>
        <w:t>zu transportieren.</w:t>
      </w:r>
      <w:r w:rsidR="00E225F4" w:rsidRPr="00E225F4">
        <w:rPr>
          <w:rFonts w:ascii="Calibri" w:hAnsi="Calibri" w:cs="Calibri"/>
          <w:color w:val="0D0D0D" w:themeColor="text1" w:themeTint="F2"/>
          <w:sz w:val="22"/>
          <w:szCs w:val="22"/>
        </w:rPr>
        <w:t xml:space="preserve"> </w:t>
      </w:r>
    </w:p>
    <w:p w14:paraId="70F05A43" w14:textId="77777777" w:rsidR="00F94DD0" w:rsidRDefault="00F94DD0" w:rsidP="00A74A07">
      <w:pPr>
        <w:pStyle w:val="KeinLeerraum"/>
        <w:rPr>
          <w:rFonts w:ascii="Calibri" w:hAnsi="Calibri" w:cs="Calibri"/>
          <w:color w:val="0D0D0D" w:themeColor="text1" w:themeTint="F2"/>
          <w:sz w:val="22"/>
          <w:szCs w:val="22"/>
        </w:rPr>
      </w:pPr>
    </w:p>
    <w:p w14:paraId="016BD30D" w14:textId="1DDD1D79" w:rsidR="00A22AF1" w:rsidRDefault="00BB34B7" w:rsidP="00A74A07">
      <w:pPr>
        <w:pStyle w:val="KeinLeerraum"/>
        <w:rPr>
          <w:rFonts w:ascii="Calibri" w:hAnsi="Calibri" w:cs="Calibri"/>
          <w:color w:val="0D0D0D" w:themeColor="text1" w:themeTint="F2"/>
          <w:sz w:val="22"/>
          <w:szCs w:val="22"/>
        </w:rPr>
      </w:pPr>
      <w:r>
        <w:rPr>
          <w:rFonts w:ascii="Calibri" w:hAnsi="Calibri" w:cs="Calibri"/>
          <w:color w:val="0D0D0D" w:themeColor="text1" w:themeTint="F2"/>
          <w:sz w:val="22"/>
          <w:szCs w:val="22"/>
        </w:rPr>
        <w:t>„</w:t>
      </w:r>
      <w:r w:rsidRPr="00E225F4">
        <w:rPr>
          <w:rFonts w:ascii="Calibri" w:hAnsi="Calibri" w:cs="Calibri"/>
          <w:color w:val="0D0D0D" w:themeColor="text1" w:themeTint="F2"/>
          <w:sz w:val="22"/>
          <w:szCs w:val="22"/>
        </w:rPr>
        <w:t>Alles, was wir visuell gestalten, soll</w:t>
      </w:r>
      <w:r>
        <w:rPr>
          <w:rFonts w:ascii="Calibri" w:hAnsi="Calibri" w:cs="Calibri"/>
          <w:color w:val="0D0D0D" w:themeColor="text1" w:themeTint="F2"/>
          <w:sz w:val="22"/>
          <w:szCs w:val="22"/>
        </w:rPr>
        <w:t>te</w:t>
      </w:r>
      <w:r w:rsidRPr="00E225F4">
        <w:rPr>
          <w:rFonts w:ascii="Calibri" w:hAnsi="Calibri" w:cs="Calibri"/>
          <w:color w:val="0D0D0D" w:themeColor="text1" w:themeTint="F2"/>
          <w:sz w:val="22"/>
          <w:szCs w:val="22"/>
        </w:rPr>
        <w:t xml:space="preserve"> dazu beitragen, die Geschichte des Künstlers zu erzählen</w:t>
      </w:r>
      <w:r>
        <w:rPr>
          <w:rFonts w:ascii="Calibri" w:hAnsi="Calibri" w:cs="Calibri"/>
          <w:color w:val="0D0D0D" w:themeColor="text1" w:themeTint="F2"/>
          <w:sz w:val="22"/>
          <w:szCs w:val="22"/>
        </w:rPr>
        <w:t xml:space="preserve">“, erläutert </w:t>
      </w:r>
      <w:r w:rsidR="00E225F4" w:rsidRPr="00E225F4">
        <w:rPr>
          <w:rFonts w:ascii="Calibri" w:hAnsi="Calibri" w:cs="Calibri"/>
          <w:color w:val="0D0D0D" w:themeColor="text1" w:themeTint="F2"/>
          <w:sz w:val="22"/>
          <w:szCs w:val="22"/>
        </w:rPr>
        <w:t>Andrius Stasiulis, Gründer und Lichtdesigner von Marfa Lights</w:t>
      </w:r>
      <w:r>
        <w:rPr>
          <w:rFonts w:ascii="Calibri" w:hAnsi="Calibri" w:cs="Calibri"/>
          <w:color w:val="0D0D0D" w:themeColor="text1" w:themeTint="F2"/>
          <w:sz w:val="22"/>
          <w:szCs w:val="22"/>
        </w:rPr>
        <w:t>.</w:t>
      </w:r>
      <w:r w:rsidR="00E225F4" w:rsidRPr="00E225F4">
        <w:rPr>
          <w:rFonts w:ascii="Calibri" w:hAnsi="Calibri" w:cs="Calibri"/>
          <w:color w:val="0D0D0D" w:themeColor="text1" w:themeTint="F2"/>
          <w:sz w:val="22"/>
          <w:szCs w:val="22"/>
        </w:rPr>
        <w:t xml:space="preserve"> </w:t>
      </w:r>
      <w:r w:rsidR="00A22AF1">
        <w:rPr>
          <w:rFonts w:ascii="Calibri" w:hAnsi="Calibri" w:cs="Calibri"/>
          <w:color w:val="0D0D0D" w:themeColor="text1" w:themeTint="F2"/>
          <w:sz w:val="22"/>
          <w:szCs w:val="22"/>
        </w:rPr>
        <w:t>Hierfür</w:t>
      </w:r>
      <w:r w:rsidR="00A22AF1" w:rsidRPr="00A22AF1">
        <w:rPr>
          <w:rFonts w:ascii="Calibri" w:hAnsi="Calibri" w:cs="Calibri"/>
          <w:color w:val="0D0D0D" w:themeColor="text1" w:themeTint="F2"/>
          <w:sz w:val="22"/>
          <w:szCs w:val="22"/>
        </w:rPr>
        <w:t xml:space="preserve"> setzte das Team unter anderem auf die Cameo ZENIT W300 und ZENIT W600 Outdoor LED Wash Lights, OTOS B5 IP65 Beam Moving Heads sowie auf die PIXBAR SMD IP G2 LED-Bars, die jeweils in großer Stückzahl und über das gesamte Bühnenbild verteilt waren.</w:t>
      </w:r>
    </w:p>
    <w:p w14:paraId="0B6BED29" w14:textId="77777777" w:rsidR="00A22AF1" w:rsidRDefault="00A22AF1" w:rsidP="00A74A07">
      <w:pPr>
        <w:pStyle w:val="KeinLeerraum"/>
        <w:rPr>
          <w:rFonts w:ascii="Calibri" w:hAnsi="Calibri" w:cs="Calibri"/>
          <w:color w:val="0D0D0D" w:themeColor="text1" w:themeTint="F2"/>
          <w:sz w:val="22"/>
          <w:szCs w:val="22"/>
        </w:rPr>
      </w:pPr>
    </w:p>
    <w:p w14:paraId="285B266A" w14:textId="24C9BC74" w:rsidR="00CE494A" w:rsidRDefault="00CE494A" w:rsidP="00A74A07">
      <w:pPr>
        <w:pStyle w:val="KeinLeerraum"/>
        <w:rPr>
          <w:rFonts w:ascii="Calibri" w:hAnsi="Calibri" w:cs="Calibri"/>
          <w:color w:val="0D0D0D" w:themeColor="text1" w:themeTint="F2"/>
          <w:sz w:val="22"/>
          <w:szCs w:val="22"/>
        </w:rPr>
      </w:pPr>
      <w:r>
        <w:rPr>
          <w:rFonts w:ascii="Calibri" w:hAnsi="Calibri" w:cs="Calibri"/>
          <w:color w:val="0D0D0D" w:themeColor="text1" w:themeTint="F2"/>
          <w:sz w:val="22"/>
          <w:szCs w:val="22"/>
        </w:rPr>
        <w:t>Die Grundlage des Lichtkonzepts</w:t>
      </w:r>
      <w:r w:rsidRPr="00CE494A">
        <w:rPr>
          <w:rFonts w:ascii="Calibri" w:hAnsi="Calibri" w:cs="Calibri"/>
          <w:color w:val="0D0D0D" w:themeColor="text1" w:themeTint="F2"/>
          <w:sz w:val="22"/>
          <w:szCs w:val="22"/>
        </w:rPr>
        <w:t xml:space="preserve"> </w:t>
      </w:r>
      <w:r>
        <w:rPr>
          <w:rFonts w:ascii="Calibri" w:hAnsi="Calibri" w:cs="Calibri"/>
          <w:color w:val="0D0D0D" w:themeColor="text1" w:themeTint="F2"/>
          <w:sz w:val="22"/>
          <w:szCs w:val="22"/>
        </w:rPr>
        <w:t>bildeten</w:t>
      </w:r>
      <w:r w:rsidRPr="00CE494A">
        <w:rPr>
          <w:rFonts w:ascii="Calibri" w:hAnsi="Calibri" w:cs="Calibri"/>
          <w:color w:val="0D0D0D" w:themeColor="text1" w:themeTint="F2"/>
          <w:sz w:val="22"/>
          <w:szCs w:val="22"/>
        </w:rPr>
        <w:t xml:space="preserve"> </w:t>
      </w:r>
      <w:r>
        <w:rPr>
          <w:rFonts w:ascii="Calibri" w:hAnsi="Calibri" w:cs="Calibri"/>
          <w:color w:val="0D0D0D" w:themeColor="text1" w:themeTint="F2"/>
          <w:sz w:val="22"/>
          <w:szCs w:val="22"/>
        </w:rPr>
        <w:t xml:space="preserve">die </w:t>
      </w:r>
      <w:r w:rsidRPr="00CE494A">
        <w:rPr>
          <w:rFonts w:ascii="Calibri" w:hAnsi="Calibri" w:cs="Calibri"/>
          <w:color w:val="0D0D0D" w:themeColor="text1" w:themeTint="F2"/>
          <w:sz w:val="22"/>
          <w:szCs w:val="22"/>
        </w:rPr>
        <w:t xml:space="preserve">ZENIT W600. Die </w:t>
      </w:r>
      <w:r>
        <w:rPr>
          <w:rFonts w:ascii="Calibri" w:hAnsi="Calibri" w:cs="Calibri"/>
          <w:color w:val="0D0D0D" w:themeColor="text1" w:themeTint="F2"/>
          <w:sz w:val="22"/>
          <w:szCs w:val="22"/>
        </w:rPr>
        <w:t xml:space="preserve">IP65-zertifizierten </w:t>
      </w:r>
      <w:r w:rsidRPr="00CE494A">
        <w:rPr>
          <w:rFonts w:ascii="Calibri" w:hAnsi="Calibri" w:cs="Calibri"/>
          <w:color w:val="0D0D0D" w:themeColor="text1" w:themeTint="F2"/>
          <w:sz w:val="22"/>
          <w:szCs w:val="22"/>
        </w:rPr>
        <w:t>LED Wash Lights sorgte</w:t>
      </w:r>
      <w:r w:rsidR="0042182E">
        <w:rPr>
          <w:rFonts w:ascii="Calibri" w:hAnsi="Calibri" w:cs="Calibri"/>
          <w:color w:val="0D0D0D" w:themeColor="text1" w:themeTint="F2"/>
          <w:sz w:val="22"/>
          <w:szCs w:val="22"/>
        </w:rPr>
        <w:t xml:space="preserve">n </w:t>
      </w:r>
      <w:r w:rsidRPr="00CE494A">
        <w:rPr>
          <w:rFonts w:ascii="Calibri" w:hAnsi="Calibri" w:cs="Calibri"/>
          <w:color w:val="0D0D0D" w:themeColor="text1" w:themeTint="F2"/>
          <w:sz w:val="22"/>
          <w:szCs w:val="22"/>
        </w:rPr>
        <w:t>für eine gleichmäßige Ausleuchtung über die gesamte Bühnenbreite</w:t>
      </w:r>
      <w:r w:rsidR="0042182E">
        <w:rPr>
          <w:rFonts w:ascii="Calibri" w:hAnsi="Calibri" w:cs="Calibri"/>
          <w:color w:val="0D0D0D" w:themeColor="text1" w:themeTint="F2"/>
          <w:sz w:val="22"/>
          <w:szCs w:val="22"/>
        </w:rPr>
        <w:t xml:space="preserve"> und hatten </w:t>
      </w:r>
      <w:r w:rsidR="0042182E" w:rsidRPr="0042182E">
        <w:rPr>
          <w:rFonts w:ascii="Calibri" w:hAnsi="Calibri" w:cs="Calibri"/>
          <w:color w:val="0D0D0D" w:themeColor="text1" w:themeTint="F2"/>
          <w:sz w:val="22"/>
          <w:szCs w:val="22"/>
        </w:rPr>
        <w:t>„genug Power, um das gesamte Stadion zu erleuchten“</w:t>
      </w:r>
      <w:r w:rsidR="0042182E">
        <w:rPr>
          <w:rFonts w:ascii="Calibri" w:hAnsi="Calibri" w:cs="Calibri"/>
          <w:color w:val="0D0D0D" w:themeColor="text1" w:themeTint="F2"/>
          <w:sz w:val="22"/>
          <w:szCs w:val="22"/>
        </w:rPr>
        <w:t xml:space="preserve">, bestätigt </w:t>
      </w:r>
      <w:r w:rsidR="0042182E" w:rsidRPr="00E225F4">
        <w:rPr>
          <w:rFonts w:ascii="Calibri" w:hAnsi="Calibri" w:cs="Calibri"/>
          <w:color w:val="0D0D0D" w:themeColor="text1" w:themeTint="F2"/>
          <w:sz w:val="22"/>
          <w:szCs w:val="22"/>
        </w:rPr>
        <w:t>Andrius Stasiulis</w:t>
      </w:r>
      <w:r w:rsidR="0042182E">
        <w:rPr>
          <w:rFonts w:ascii="Calibri" w:hAnsi="Calibri" w:cs="Calibri"/>
          <w:color w:val="0D0D0D" w:themeColor="text1" w:themeTint="F2"/>
          <w:sz w:val="22"/>
          <w:szCs w:val="22"/>
        </w:rPr>
        <w:t>.</w:t>
      </w:r>
      <w:r w:rsidRPr="00CE494A">
        <w:rPr>
          <w:rFonts w:ascii="Calibri" w:hAnsi="Calibri" w:cs="Calibri"/>
          <w:color w:val="0D0D0D" w:themeColor="text1" w:themeTint="F2"/>
          <w:sz w:val="22"/>
          <w:szCs w:val="22"/>
        </w:rPr>
        <w:t xml:space="preserve"> Ergänzend </w:t>
      </w:r>
      <w:r w:rsidR="00005D07">
        <w:rPr>
          <w:rFonts w:ascii="Calibri" w:hAnsi="Calibri" w:cs="Calibri"/>
          <w:color w:val="0D0D0D" w:themeColor="text1" w:themeTint="F2"/>
          <w:sz w:val="22"/>
          <w:szCs w:val="22"/>
        </w:rPr>
        <w:t>setzte Marfa Lights auf</w:t>
      </w:r>
      <w:r w:rsidRPr="00CE494A">
        <w:rPr>
          <w:rFonts w:ascii="Calibri" w:hAnsi="Calibri" w:cs="Calibri"/>
          <w:color w:val="0D0D0D" w:themeColor="text1" w:themeTint="F2"/>
          <w:sz w:val="22"/>
          <w:szCs w:val="22"/>
        </w:rPr>
        <w:t xml:space="preserve"> ZENIT W300 als Footlights, </w:t>
      </w:r>
      <w:r w:rsidR="00005D07">
        <w:rPr>
          <w:rFonts w:ascii="Calibri" w:hAnsi="Calibri" w:cs="Calibri"/>
          <w:color w:val="0D0D0D" w:themeColor="text1" w:themeTint="F2"/>
          <w:sz w:val="22"/>
          <w:szCs w:val="22"/>
        </w:rPr>
        <w:t xml:space="preserve">die </w:t>
      </w:r>
      <w:r w:rsidRPr="00CE494A">
        <w:rPr>
          <w:rFonts w:ascii="Calibri" w:hAnsi="Calibri" w:cs="Calibri"/>
          <w:color w:val="0D0D0D" w:themeColor="text1" w:themeTint="F2"/>
          <w:sz w:val="22"/>
          <w:szCs w:val="22"/>
        </w:rPr>
        <w:t xml:space="preserve">insbesondere </w:t>
      </w:r>
      <w:r w:rsidR="00C7778D">
        <w:rPr>
          <w:rFonts w:ascii="Calibri" w:hAnsi="Calibri" w:cs="Calibri"/>
          <w:color w:val="0D0D0D" w:themeColor="text1" w:themeTint="F2"/>
          <w:sz w:val="22"/>
          <w:szCs w:val="22"/>
        </w:rPr>
        <w:t>bei</w:t>
      </w:r>
      <w:r w:rsidR="00C7778D" w:rsidRPr="00CE494A">
        <w:rPr>
          <w:rFonts w:ascii="Calibri" w:hAnsi="Calibri" w:cs="Calibri"/>
          <w:color w:val="0D0D0D" w:themeColor="text1" w:themeTint="F2"/>
          <w:sz w:val="22"/>
          <w:szCs w:val="22"/>
        </w:rPr>
        <w:t xml:space="preserve"> Nahaufnahmen auf den LED-Screens </w:t>
      </w:r>
      <w:r w:rsidR="00C7778D">
        <w:rPr>
          <w:rFonts w:ascii="Calibri" w:hAnsi="Calibri" w:cs="Calibri"/>
          <w:color w:val="0D0D0D" w:themeColor="text1" w:themeTint="F2"/>
          <w:sz w:val="22"/>
          <w:szCs w:val="22"/>
        </w:rPr>
        <w:t>für</w:t>
      </w:r>
      <w:r w:rsidRPr="00CE494A">
        <w:rPr>
          <w:rFonts w:ascii="Calibri" w:hAnsi="Calibri" w:cs="Calibri"/>
          <w:color w:val="0D0D0D" w:themeColor="text1" w:themeTint="F2"/>
          <w:sz w:val="22"/>
          <w:szCs w:val="22"/>
        </w:rPr>
        <w:t xml:space="preserve"> natürliche</w:t>
      </w:r>
      <w:r w:rsidR="00C7778D">
        <w:rPr>
          <w:rFonts w:ascii="Calibri" w:hAnsi="Calibri" w:cs="Calibri"/>
          <w:color w:val="0D0D0D" w:themeColor="text1" w:themeTint="F2"/>
          <w:sz w:val="22"/>
          <w:szCs w:val="22"/>
        </w:rPr>
        <w:t xml:space="preserve"> Hauttöne sorgten.</w:t>
      </w:r>
      <w:r>
        <w:rPr>
          <w:rFonts w:ascii="Calibri" w:hAnsi="Calibri" w:cs="Calibri"/>
          <w:color w:val="0D0D0D" w:themeColor="text1" w:themeTint="F2"/>
          <w:sz w:val="22"/>
          <w:szCs w:val="22"/>
        </w:rPr>
        <w:t xml:space="preserve"> </w:t>
      </w:r>
      <w:r w:rsidRPr="00CE494A">
        <w:rPr>
          <w:rFonts w:ascii="Calibri" w:hAnsi="Calibri" w:cs="Calibri"/>
          <w:color w:val="0D0D0D" w:themeColor="text1" w:themeTint="F2"/>
          <w:sz w:val="22"/>
          <w:szCs w:val="22"/>
        </w:rPr>
        <w:t xml:space="preserve">Für Akzente, Pixel-Designs und Farbverläufe kamen zusätzlich PIXBAR SMD IP G2 LED-Bars zum Einsatz, die geschickt in die Bühnenarchitektur integriert wurden. </w:t>
      </w:r>
    </w:p>
    <w:p w14:paraId="17E31C13" w14:textId="77777777" w:rsidR="00BB34B7" w:rsidRDefault="00BB34B7" w:rsidP="00A74A07">
      <w:pPr>
        <w:pStyle w:val="KeinLeerraum"/>
        <w:rPr>
          <w:rFonts w:ascii="Calibri" w:hAnsi="Calibri" w:cs="Calibri"/>
          <w:color w:val="0D0D0D" w:themeColor="text1" w:themeTint="F2"/>
          <w:sz w:val="22"/>
          <w:szCs w:val="22"/>
        </w:rPr>
      </w:pPr>
    </w:p>
    <w:p w14:paraId="669A6C3E" w14:textId="57F72D9D" w:rsidR="0042182E" w:rsidRDefault="0042182E" w:rsidP="00A74A07">
      <w:pPr>
        <w:pStyle w:val="KeinLeerraum"/>
        <w:rPr>
          <w:rFonts w:ascii="Calibri" w:hAnsi="Calibri" w:cs="Calibri"/>
          <w:color w:val="0D0D0D" w:themeColor="text1" w:themeTint="F2"/>
          <w:sz w:val="22"/>
          <w:szCs w:val="22"/>
        </w:rPr>
      </w:pPr>
      <w:r w:rsidRPr="0042182E">
        <w:rPr>
          <w:rFonts w:ascii="Calibri" w:hAnsi="Calibri" w:cs="Calibri"/>
          <w:color w:val="0D0D0D" w:themeColor="text1" w:themeTint="F2"/>
          <w:sz w:val="22"/>
          <w:szCs w:val="22"/>
        </w:rPr>
        <w:t>Auch das Videodesign wurde nahtlos in das Gesamtkonzept integriert. Auf Basis der grandMA Lichtpulte sowie der Softwarelösungen Notch und Hippotizer gestaltete Pijus Norušis, Video Designer bei Marfa Lights, visuelle Sequenzen, die wie ein erweitertes Lichtdesign funktionierten: „Weil wir das Video nach denselben Prinzipien programmiert haben wie das Licht, konnten wir eine durchgehend konsistente visuelle Sprache schaffen.“</w:t>
      </w:r>
    </w:p>
    <w:p w14:paraId="12A3D381" w14:textId="77777777" w:rsidR="0042182E" w:rsidRPr="00A74A07" w:rsidRDefault="0042182E" w:rsidP="00A74A07">
      <w:pPr>
        <w:pStyle w:val="KeinLeerraum"/>
        <w:rPr>
          <w:rFonts w:ascii="Calibri" w:hAnsi="Calibri" w:cs="Calibri"/>
          <w:color w:val="0D0D0D" w:themeColor="text1" w:themeTint="F2"/>
          <w:sz w:val="22"/>
          <w:szCs w:val="22"/>
        </w:rPr>
      </w:pPr>
    </w:p>
    <w:p w14:paraId="5FEAF5D2" w14:textId="196281E1" w:rsidR="006D2E7A" w:rsidRPr="00A74A07" w:rsidRDefault="00E62A42" w:rsidP="00A74A07">
      <w:pPr>
        <w:pStyle w:val="KeinLeerraum"/>
        <w:rPr>
          <w:rFonts w:ascii="Calibri" w:hAnsi="Calibri" w:cs="Calibri"/>
          <w:color w:val="0D0D0D" w:themeColor="text1" w:themeTint="F2"/>
          <w:sz w:val="22"/>
          <w:szCs w:val="22"/>
        </w:rPr>
      </w:pPr>
      <w:r w:rsidRPr="00A74A07">
        <w:rPr>
          <w:rFonts w:ascii="Calibri" w:hAnsi="Calibri" w:cs="Calibri"/>
          <w:color w:val="000000" w:themeColor="text1"/>
          <w:sz w:val="22"/>
          <w:szCs w:val="22"/>
        </w:rPr>
        <w:t xml:space="preserve">#AdamHallGroup </w:t>
      </w:r>
      <w:r w:rsidR="00044D41" w:rsidRPr="00A74A07">
        <w:rPr>
          <w:rFonts w:ascii="Calibri" w:hAnsi="Calibri" w:cs="Calibri"/>
          <w:color w:val="000000" w:themeColor="text1"/>
          <w:sz w:val="22"/>
          <w:szCs w:val="22"/>
        </w:rPr>
        <w:t xml:space="preserve"> </w:t>
      </w:r>
      <w:r w:rsidR="001D3566" w:rsidRPr="00A74A07">
        <w:rPr>
          <w:rFonts w:ascii="Calibri" w:hAnsi="Calibri" w:cs="Calibri"/>
          <w:sz w:val="22"/>
          <w:szCs w:val="22"/>
        </w:rPr>
        <w:t xml:space="preserve">#Cameo  #ForLumenBeings  </w:t>
      </w:r>
      <w:r w:rsidR="006D2E7A" w:rsidRPr="00A74A07">
        <w:rPr>
          <w:rFonts w:ascii="Calibri" w:hAnsi="Calibri" w:cs="Calibri"/>
          <w:color w:val="0D0D0D" w:themeColor="text1" w:themeTint="F2"/>
          <w:sz w:val="22"/>
          <w:szCs w:val="22"/>
        </w:rPr>
        <w:t>#</w:t>
      </w:r>
      <w:r w:rsidR="00140348" w:rsidRPr="00A74A07">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2305C462" w14:textId="04E4B87C" w:rsidR="002F20E1" w:rsidRPr="0010551F" w:rsidRDefault="006D2E7A" w:rsidP="000C4ECE">
      <w:pPr>
        <w:rPr>
          <w:rFonts w:ascii="Calibri" w:hAnsi="Calibri" w:cs="Calibri"/>
          <w:b/>
          <w:sz w:val="22"/>
          <w:szCs w:val="22"/>
        </w:rPr>
      </w:pPr>
      <w:r w:rsidRPr="0010551F">
        <w:rPr>
          <w:rFonts w:ascii="Calibri" w:hAnsi="Calibri" w:cs="Calibri"/>
          <w:b/>
          <w:sz w:val="22"/>
          <w:szCs w:val="22"/>
        </w:rPr>
        <w:t xml:space="preserve">Weitere Informationen: </w:t>
      </w:r>
    </w:p>
    <w:p w14:paraId="7A03D763" w14:textId="77777777" w:rsidR="00F94DD0" w:rsidRDefault="00F94DD0" w:rsidP="00F94DD0">
      <w:pPr>
        <w:rPr>
          <w:rFonts w:ascii="Calibri" w:hAnsi="Calibri" w:cs="Calibri"/>
          <w:color w:val="0070C0"/>
          <w:sz w:val="22"/>
          <w:szCs w:val="22"/>
          <w:u w:val="single"/>
        </w:rPr>
      </w:pPr>
      <w:hyperlink r:id="rId7" w:history="1">
        <w:r>
          <w:rPr>
            <w:rStyle w:val="Hyperlink"/>
            <w:rFonts w:ascii="Calibri" w:hAnsi="Calibri" w:cs="Calibri"/>
            <w:sz w:val="22"/>
            <w:szCs w:val="22"/>
          </w:rPr>
          <w:t>marfa-lights.com</w:t>
        </w:r>
      </w:hyperlink>
    </w:p>
    <w:p w14:paraId="006AF66B" w14:textId="77777777" w:rsidR="00F94DD0" w:rsidRDefault="00F94DD0" w:rsidP="00F94DD0">
      <w:pPr>
        <w:suppressAutoHyphens/>
        <w:spacing w:line="276" w:lineRule="auto"/>
        <w:rPr>
          <w:rStyle w:val="Hyperlink"/>
          <w:rFonts w:ascii="Calibri" w:hAnsi="Calibri" w:cs="Calibri"/>
          <w:color w:val="0070C0"/>
          <w:sz w:val="22"/>
          <w:szCs w:val="22"/>
        </w:rPr>
      </w:pPr>
      <w:hyperlink r:id="rId8" w:history="1">
        <w:r>
          <w:rPr>
            <w:rStyle w:val="Hyperlink"/>
            <w:rFonts w:ascii="Calibri" w:hAnsi="Calibri" w:cs="Calibri"/>
            <w:sz w:val="22"/>
            <w:szCs w:val="22"/>
          </w:rPr>
          <w:t>bps.lt</w:t>
        </w:r>
      </w:hyperlink>
    </w:p>
    <w:p w14:paraId="6E7E6E5D" w14:textId="77777777" w:rsidR="004818CF" w:rsidRPr="0010551F" w:rsidRDefault="004818CF" w:rsidP="000C4ECE">
      <w:pPr>
        <w:rPr>
          <w:rStyle w:val="Hyperlink"/>
          <w:rFonts w:ascii="Calibri" w:hAnsi="Calibri" w:cs="Calibri"/>
          <w:sz w:val="22"/>
          <w:szCs w:val="22"/>
        </w:rPr>
      </w:pPr>
    </w:p>
    <w:p w14:paraId="55862C23" w14:textId="77777777" w:rsidR="00035C36" w:rsidRPr="00A74A07" w:rsidRDefault="00035C36" w:rsidP="000C4ECE">
      <w:pPr>
        <w:rPr>
          <w:rStyle w:val="Hyperlink"/>
          <w:rFonts w:ascii="Calibri" w:hAnsi="Calibri" w:cs="Calibri"/>
          <w:sz w:val="22"/>
          <w:szCs w:val="22"/>
        </w:rPr>
      </w:pPr>
      <w:hyperlink r:id="rId9" w:history="1">
        <w:r w:rsidRPr="00A74A07">
          <w:rPr>
            <w:rStyle w:val="Hyperlink"/>
            <w:rFonts w:ascii="Calibri" w:hAnsi="Calibri" w:cs="Calibri"/>
            <w:sz w:val="22"/>
            <w:szCs w:val="22"/>
          </w:rPr>
          <w:t>cameolight.com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0" w:history="1">
        <w:r w:rsidRPr="00A74A07">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1" w:history="1">
        <w:r w:rsidRPr="0010551F">
          <w:rPr>
            <w:rStyle w:val="Hyperlink"/>
            <w:rFonts w:ascii="Calibri" w:hAnsi="Calibri"/>
            <w:sz w:val="18"/>
          </w:rPr>
          <w:t>www.adamhall.com</w:t>
        </w:r>
      </w:hyperlink>
    </w:p>
    <w:sectPr w:rsidR="000C2D39" w:rsidRPr="0010551F"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14D5A" w14:textId="77777777" w:rsidR="0002758E" w:rsidRDefault="0002758E" w:rsidP="004330C6">
      <w:r>
        <w:separator/>
      </w:r>
    </w:p>
  </w:endnote>
  <w:endnote w:type="continuationSeparator" w:id="0">
    <w:p w14:paraId="512874FE" w14:textId="77777777" w:rsidR="0002758E" w:rsidRDefault="0002758E" w:rsidP="004330C6">
      <w:r>
        <w:continuationSeparator/>
      </w:r>
    </w:p>
  </w:endnote>
  <w:endnote w:type="continuationNotice" w:id="1">
    <w:p w14:paraId="2F260F86" w14:textId="77777777" w:rsidR="0002758E" w:rsidRDefault="00027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02758E">
    <w:pPr>
      <w:pStyle w:val="Fuzeile"/>
    </w:pPr>
    <w:r>
      <w:rPr>
        <w:noProof/>
        <w:lang w:val="en-US" w:eastAsia="en-US" w:bidi="ar-SA"/>
      </w:rPr>
      <w:pict w14:anchorId="7A61F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2.0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E11F3" w14:textId="77777777" w:rsidR="0002758E" w:rsidRDefault="0002758E" w:rsidP="004330C6">
      <w:r>
        <w:separator/>
      </w:r>
    </w:p>
  </w:footnote>
  <w:footnote w:type="continuationSeparator" w:id="0">
    <w:p w14:paraId="11062558" w14:textId="77777777" w:rsidR="0002758E" w:rsidRDefault="0002758E" w:rsidP="004330C6">
      <w:r>
        <w:continuationSeparator/>
      </w:r>
    </w:p>
  </w:footnote>
  <w:footnote w:type="continuationNotice" w:id="1">
    <w:p w14:paraId="4C391826" w14:textId="77777777" w:rsidR="0002758E" w:rsidRDefault="00027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activeWritingStyle w:appName="MSWord" w:lang="de-DE"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5D07"/>
    <w:rsid w:val="000064B6"/>
    <w:rsid w:val="00010D62"/>
    <w:rsid w:val="00012478"/>
    <w:rsid w:val="0001272F"/>
    <w:rsid w:val="00013B96"/>
    <w:rsid w:val="00016A96"/>
    <w:rsid w:val="0002119C"/>
    <w:rsid w:val="00023F38"/>
    <w:rsid w:val="000240B4"/>
    <w:rsid w:val="0002758E"/>
    <w:rsid w:val="00030D74"/>
    <w:rsid w:val="000310C8"/>
    <w:rsid w:val="00031E80"/>
    <w:rsid w:val="000352E0"/>
    <w:rsid w:val="0003571C"/>
    <w:rsid w:val="00035C36"/>
    <w:rsid w:val="00042DFF"/>
    <w:rsid w:val="00044D41"/>
    <w:rsid w:val="000471F3"/>
    <w:rsid w:val="00051C38"/>
    <w:rsid w:val="000555EE"/>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A65DE"/>
    <w:rsid w:val="001B000E"/>
    <w:rsid w:val="001B0461"/>
    <w:rsid w:val="001B40F4"/>
    <w:rsid w:val="001B7E2C"/>
    <w:rsid w:val="001C5825"/>
    <w:rsid w:val="001C5D7F"/>
    <w:rsid w:val="001D3566"/>
    <w:rsid w:val="001D6F99"/>
    <w:rsid w:val="001D70B5"/>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97A48"/>
    <w:rsid w:val="002A4EA4"/>
    <w:rsid w:val="002A71BC"/>
    <w:rsid w:val="002B2157"/>
    <w:rsid w:val="002B49DF"/>
    <w:rsid w:val="002B4A3E"/>
    <w:rsid w:val="002B520A"/>
    <w:rsid w:val="002C1AB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182E"/>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20F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1C97"/>
    <w:rsid w:val="00523241"/>
    <w:rsid w:val="0053710D"/>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67BD8"/>
    <w:rsid w:val="00771066"/>
    <w:rsid w:val="007733F5"/>
    <w:rsid w:val="0077345C"/>
    <w:rsid w:val="00775814"/>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74CD"/>
    <w:rsid w:val="00847702"/>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7412"/>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09F5"/>
    <w:rsid w:val="00A16D84"/>
    <w:rsid w:val="00A17E32"/>
    <w:rsid w:val="00A20120"/>
    <w:rsid w:val="00A22AF1"/>
    <w:rsid w:val="00A26BDE"/>
    <w:rsid w:val="00A34037"/>
    <w:rsid w:val="00A57A45"/>
    <w:rsid w:val="00A60861"/>
    <w:rsid w:val="00A65C1E"/>
    <w:rsid w:val="00A65CF8"/>
    <w:rsid w:val="00A71674"/>
    <w:rsid w:val="00A71B6D"/>
    <w:rsid w:val="00A738EB"/>
    <w:rsid w:val="00A74A07"/>
    <w:rsid w:val="00A76EE1"/>
    <w:rsid w:val="00A8032D"/>
    <w:rsid w:val="00A80E31"/>
    <w:rsid w:val="00A836AE"/>
    <w:rsid w:val="00A83F72"/>
    <w:rsid w:val="00A85561"/>
    <w:rsid w:val="00A90641"/>
    <w:rsid w:val="00A92A0A"/>
    <w:rsid w:val="00A947D9"/>
    <w:rsid w:val="00AA2256"/>
    <w:rsid w:val="00AA3B63"/>
    <w:rsid w:val="00AA4261"/>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34B7"/>
    <w:rsid w:val="00BB56CB"/>
    <w:rsid w:val="00BB6E8F"/>
    <w:rsid w:val="00BC2C84"/>
    <w:rsid w:val="00BC3124"/>
    <w:rsid w:val="00BC6B91"/>
    <w:rsid w:val="00BD18F0"/>
    <w:rsid w:val="00BE013A"/>
    <w:rsid w:val="00BE3EA6"/>
    <w:rsid w:val="00BF05DF"/>
    <w:rsid w:val="00BF34F3"/>
    <w:rsid w:val="00BF3B73"/>
    <w:rsid w:val="00C028A4"/>
    <w:rsid w:val="00C04CDE"/>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7778D"/>
    <w:rsid w:val="00C81029"/>
    <w:rsid w:val="00C81614"/>
    <w:rsid w:val="00C85C87"/>
    <w:rsid w:val="00C86618"/>
    <w:rsid w:val="00C87824"/>
    <w:rsid w:val="00C91653"/>
    <w:rsid w:val="00CA04B3"/>
    <w:rsid w:val="00CB35BC"/>
    <w:rsid w:val="00CB3D36"/>
    <w:rsid w:val="00CB3E46"/>
    <w:rsid w:val="00CB4AC6"/>
    <w:rsid w:val="00CB5540"/>
    <w:rsid w:val="00CC4FA9"/>
    <w:rsid w:val="00CD7F15"/>
    <w:rsid w:val="00CD7F18"/>
    <w:rsid w:val="00CE494A"/>
    <w:rsid w:val="00CE5003"/>
    <w:rsid w:val="00CE5AD3"/>
    <w:rsid w:val="00CE6E3E"/>
    <w:rsid w:val="00CF2B4D"/>
    <w:rsid w:val="00CF357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4E68"/>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25F4"/>
    <w:rsid w:val="00E23629"/>
    <w:rsid w:val="00E24D88"/>
    <w:rsid w:val="00E26542"/>
    <w:rsid w:val="00E269A9"/>
    <w:rsid w:val="00E26CE9"/>
    <w:rsid w:val="00E3698F"/>
    <w:rsid w:val="00E40A90"/>
    <w:rsid w:val="00E40CC8"/>
    <w:rsid w:val="00E44881"/>
    <w:rsid w:val="00E4607C"/>
    <w:rsid w:val="00E52B7E"/>
    <w:rsid w:val="00E61B33"/>
    <w:rsid w:val="00E62A42"/>
    <w:rsid w:val="00E65A03"/>
    <w:rsid w:val="00E72BA6"/>
    <w:rsid w:val="00E75B7F"/>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6D09"/>
    <w:rsid w:val="00F06E36"/>
    <w:rsid w:val="00F07EBD"/>
    <w:rsid w:val="00F10AE8"/>
    <w:rsid w:val="00F11280"/>
    <w:rsid w:val="00F1313D"/>
    <w:rsid w:val="00F14855"/>
    <w:rsid w:val="00F2197E"/>
    <w:rsid w:val="00F21E77"/>
    <w:rsid w:val="00F220D2"/>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4DD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ps.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rfa-lights.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3780</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35</cp:revision>
  <cp:lastPrinted>2019-01-10T17:28:00Z</cp:lastPrinted>
  <dcterms:created xsi:type="dcterms:W3CDTF">2024-08-09T08:25:00Z</dcterms:created>
  <dcterms:modified xsi:type="dcterms:W3CDTF">2026-02-25T10:13:00Z</dcterms:modified>
</cp:coreProperties>
</file>