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sidRPr="0010551F">
        <w:rPr>
          <w:rFonts w:ascii="Calibri" w:hAnsi="Calibri"/>
          <w:sz w:val="52"/>
        </w:rPr>
        <w:t>Pressemitteilung</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078C0A85" w14:textId="1A6DA98C" w:rsidR="008A52C9" w:rsidRDefault="000049D6" w:rsidP="008A52C9">
      <w:pPr>
        <w:shd w:val="clear" w:color="auto" w:fill="FFFFFF"/>
        <w:rPr>
          <w:rFonts w:ascii="Calibri" w:hAnsi="Calibri" w:cs="Calibri"/>
          <w:b/>
          <w:color w:val="000000" w:themeColor="text1"/>
          <w:sz w:val="44"/>
          <w:szCs w:val="44"/>
        </w:rPr>
      </w:pPr>
      <w:r w:rsidRPr="000049D6">
        <w:rPr>
          <w:rFonts w:ascii="Calibri" w:hAnsi="Calibri" w:cs="Calibri"/>
          <w:b/>
          <w:color w:val="000000" w:themeColor="text1"/>
          <w:sz w:val="44"/>
          <w:szCs w:val="44"/>
        </w:rPr>
        <w:t>Palmer präsentiert ORBIT 11 – koaxialer 3-Wege-Studiomonitor mit echter Punktschallquelle</w:t>
      </w:r>
    </w:p>
    <w:p w14:paraId="7EB7F480" w14:textId="77777777" w:rsidR="000049D6" w:rsidRPr="008A52C9" w:rsidRDefault="000049D6" w:rsidP="008A52C9">
      <w:pPr>
        <w:shd w:val="clear" w:color="auto" w:fill="FFFFFF"/>
        <w:rPr>
          <w:rFonts w:ascii="Calibri" w:hAnsi="Calibri" w:cs="Calibri"/>
          <w:color w:val="000000" w:themeColor="text1"/>
          <w:sz w:val="44"/>
          <w:szCs w:val="44"/>
        </w:rPr>
      </w:pPr>
    </w:p>
    <w:p w14:paraId="7FE218FC" w14:textId="31303FFF" w:rsidR="000049D6" w:rsidRPr="000049D6" w:rsidRDefault="008A52C9" w:rsidP="000049D6">
      <w:pPr>
        <w:shd w:val="clear" w:color="auto" w:fill="FFFFFF"/>
        <w:rPr>
          <w:rFonts w:ascii="Calibri" w:hAnsi="Calibri" w:cs="Calibri"/>
          <w:b/>
          <w:color w:val="0D0D0D" w:themeColor="text1" w:themeTint="F2"/>
          <w:sz w:val="22"/>
          <w:szCs w:val="22"/>
          <w:bdr w:val="none" w:sz="0" w:space="0" w:color="auto" w:frame="1"/>
        </w:rPr>
      </w:pPr>
      <w:r w:rsidRPr="008A52C9">
        <w:rPr>
          <w:rFonts w:ascii="Calibri" w:hAnsi="Calibri" w:cs="Calibri"/>
          <w:b/>
          <w:color w:val="0D0D0D" w:themeColor="text1" w:themeTint="F2"/>
          <w:sz w:val="22"/>
          <w:szCs w:val="22"/>
          <w:bdr w:val="none" w:sz="0" w:space="0" w:color="auto" w:frame="1"/>
        </w:rPr>
        <w:t>Neu-Anspach –</w:t>
      </w:r>
      <w:r w:rsidRPr="008A52C9">
        <w:rPr>
          <w:rFonts w:ascii="Calibri" w:hAnsi="Calibri" w:cs="Calibri"/>
          <w:b/>
          <w:color w:val="FF0000"/>
          <w:sz w:val="22"/>
          <w:szCs w:val="22"/>
          <w:bdr w:val="none" w:sz="0" w:space="0" w:color="auto" w:frame="1"/>
        </w:rPr>
        <w:t xml:space="preserve"> </w:t>
      </w:r>
      <w:r w:rsidR="00650A14">
        <w:rPr>
          <w:rFonts w:ascii="Calibri" w:hAnsi="Calibri" w:cs="Calibri"/>
          <w:b/>
          <w:color w:val="000000" w:themeColor="text1"/>
          <w:sz w:val="22"/>
          <w:szCs w:val="22"/>
          <w:bdr w:val="none" w:sz="0" w:space="0" w:color="auto" w:frame="1"/>
        </w:rPr>
        <w:t>10</w:t>
      </w:r>
      <w:r w:rsidRPr="008A52C9">
        <w:rPr>
          <w:rFonts w:ascii="Calibri" w:hAnsi="Calibri" w:cs="Calibri"/>
          <w:b/>
          <w:color w:val="000000" w:themeColor="text1"/>
          <w:sz w:val="22"/>
          <w:szCs w:val="22"/>
          <w:bdr w:val="none" w:sz="0" w:space="0" w:color="auto" w:frame="1"/>
        </w:rPr>
        <w:t xml:space="preserve">. </w:t>
      </w:r>
      <w:r w:rsidR="000049D6">
        <w:rPr>
          <w:rFonts w:ascii="Calibri" w:hAnsi="Calibri" w:cs="Calibri"/>
          <w:b/>
          <w:color w:val="000000" w:themeColor="text1"/>
          <w:sz w:val="22"/>
          <w:szCs w:val="22"/>
          <w:bdr w:val="none" w:sz="0" w:space="0" w:color="auto" w:frame="1"/>
        </w:rPr>
        <w:t>Februar</w:t>
      </w:r>
      <w:r w:rsidRPr="008A52C9">
        <w:rPr>
          <w:rFonts w:ascii="Calibri" w:hAnsi="Calibri" w:cs="Calibri"/>
          <w:b/>
          <w:color w:val="000000" w:themeColor="text1"/>
          <w:sz w:val="22"/>
          <w:szCs w:val="22"/>
          <w:bdr w:val="none" w:sz="0" w:space="0" w:color="auto" w:frame="1"/>
        </w:rPr>
        <w:t xml:space="preserve"> 202</w:t>
      </w:r>
      <w:r w:rsidR="000049D6">
        <w:rPr>
          <w:rFonts w:ascii="Calibri" w:hAnsi="Calibri" w:cs="Calibri"/>
          <w:b/>
          <w:color w:val="000000" w:themeColor="text1"/>
          <w:sz w:val="22"/>
          <w:szCs w:val="22"/>
          <w:bdr w:val="none" w:sz="0" w:space="0" w:color="auto" w:frame="1"/>
        </w:rPr>
        <w:t>6</w:t>
      </w:r>
      <w:r w:rsidRPr="008A52C9">
        <w:rPr>
          <w:rFonts w:ascii="Calibri" w:hAnsi="Calibri" w:cs="Calibri"/>
          <w:b/>
          <w:color w:val="000000" w:themeColor="text1"/>
          <w:sz w:val="22"/>
          <w:szCs w:val="22"/>
          <w:bdr w:val="none" w:sz="0" w:space="0" w:color="auto" w:frame="1"/>
        </w:rPr>
        <w:t xml:space="preserve"> </w:t>
      </w:r>
      <w:r w:rsidRPr="008A52C9">
        <w:rPr>
          <w:rFonts w:ascii="Calibri" w:hAnsi="Calibri" w:cs="Calibri"/>
          <w:b/>
          <w:color w:val="0D0D0D" w:themeColor="text1" w:themeTint="F2"/>
          <w:sz w:val="22"/>
          <w:szCs w:val="22"/>
          <w:bdr w:val="none" w:sz="0" w:space="0" w:color="auto" w:frame="1"/>
        </w:rPr>
        <w:t xml:space="preserve">– </w:t>
      </w:r>
      <w:r w:rsidR="000049D6" w:rsidRPr="000049D6">
        <w:rPr>
          <w:rFonts w:ascii="Calibri" w:hAnsi="Calibri" w:cs="Calibri"/>
          <w:b/>
          <w:color w:val="0D0D0D" w:themeColor="text1" w:themeTint="F2"/>
          <w:sz w:val="22"/>
          <w:szCs w:val="22"/>
          <w:bdr w:val="none" w:sz="0" w:space="0" w:color="auto" w:frame="1"/>
        </w:rPr>
        <w:t xml:space="preserve">Mit dem ORBIT 11 stellt Palmer einen hochwertigen, aktiven 3-Wege-Studiomonitor vor, der sich an professionelle Tonstudios, Projektstudios </w:t>
      </w:r>
      <w:r w:rsidR="00FC64FB">
        <w:rPr>
          <w:rFonts w:ascii="Calibri" w:hAnsi="Calibri" w:cs="Calibri"/>
          <w:b/>
          <w:color w:val="0D0D0D" w:themeColor="text1" w:themeTint="F2"/>
          <w:sz w:val="22"/>
          <w:szCs w:val="22"/>
          <w:bdr w:val="none" w:sz="0" w:space="0" w:color="auto" w:frame="1"/>
        </w:rPr>
        <w:t>und</w:t>
      </w:r>
      <w:r w:rsidR="000049D6" w:rsidRPr="000049D6">
        <w:rPr>
          <w:rFonts w:ascii="Calibri" w:hAnsi="Calibri" w:cs="Calibri"/>
          <w:b/>
          <w:color w:val="0D0D0D" w:themeColor="text1" w:themeTint="F2"/>
          <w:sz w:val="22"/>
          <w:szCs w:val="22"/>
          <w:bdr w:val="none" w:sz="0" w:space="0" w:color="auto" w:frame="1"/>
        </w:rPr>
        <w:t xml:space="preserve"> </w:t>
      </w:r>
      <w:r w:rsidR="00FC64FB" w:rsidRPr="000049D6">
        <w:rPr>
          <w:rFonts w:ascii="Calibri" w:hAnsi="Calibri" w:cs="Calibri"/>
          <w:b/>
          <w:color w:val="0D0D0D" w:themeColor="text1" w:themeTint="F2"/>
          <w:sz w:val="22"/>
          <w:szCs w:val="22"/>
          <w:bdr w:val="none" w:sz="0" w:space="0" w:color="auto" w:frame="1"/>
        </w:rPr>
        <w:t xml:space="preserve">ambitionierte </w:t>
      </w:r>
      <w:r w:rsidR="000049D6" w:rsidRPr="000049D6">
        <w:rPr>
          <w:rFonts w:ascii="Calibri" w:hAnsi="Calibri" w:cs="Calibri"/>
          <w:b/>
          <w:color w:val="0D0D0D" w:themeColor="text1" w:themeTint="F2"/>
          <w:sz w:val="22"/>
          <w:szCs w:val="22"/>
          <w:bdr w:val="none" w:sz="0" w:space="0" w:color="auto" w:frame="1"/>
        </w:rPr>
        <w:t>Homerecording-Anwender richtet. Der ORBIT 11 kombiniert ein innovatives koaxiales Punktschallquellen-Design mit hoher Leistungsreserve, linearer Phasenwiedergabe und umfangreichen Anpassungsmöglichkeiten für präzises Arbeiten in modernen Produktionsumgebungen.</w:t>
      </w:r>
    </w:p>
    <w:p w14:paraId="1FE5736F" w14:textId="77777777" w:rsidR="000049D6" w:rsidRPr="000049D6" w:rsidRDefault="000049D6" w:rsidP="000049D6">
      <w:pPr>
        <w:shd w:val="clear" w:color="auto" w:fill="FFFFFF"/>
        <w:rPr>
          <w:rFonts w:ascii="Calibri" w:hAnsi="Calibri" w:cs="Calibri"/>
          <w:b/>
          <w:color w:val="0D0D0D" w:themeColor="text1" w:themeTint="F2"/>
          <w:sz w:val="22"/>
          <w:szCs w:val="22"/>
          <w:bdr w:val="none" w:sz="0" w:space="0" w:color="auto" w:frame="1"/>
        </w:rPr>
      </w:pPr>
    </w:p>
    <w:p w14:paraId="408A34C7" w14:textId="5017197E" w:rsidR="000049D6" w:rsidRPr="000049D6" w:rsidRDefault="000049D6" w:rsidP="000049D6">
      <w:pPr>
        <w:shd w:val="clear" w:color="auto" w:fill="FFFFFF"/>
        <w:rPr>
          <w:rFonts w:ascii="Calibri" w:hAnsi="Calibri" w:cs="Calibri"/>
          <w:bCs/>
          <w:color w:val="0D0D0D" w:themeColor="text1" w:themeTint="F2"/>
          <w:sz w:val="22"/>
          <w:szCs w:val="22"/>
          <w:bdr w:val="none" w:sz="0" w:space="0" w:color="auto" w:frame="1"/>
        </w:rPr>
      </w:pPr>
      <w:r w:rsidRPr="000049D6">
        <w:rPr>
          <w:rFonts w:ascii="Calibri" w:hAnsi="Calibri" w:cs="Calibri"/>
          <w:bCs/>
          <w:color w:val="0D0D0D" w:themeColor="text1" w:themeTint="F2"/>
          <w:sz w:val="22"/>
          <w:szCs w:val="22"/>
          <w:bdr w:val="none" w:sz="0" w:space="0" w:color="auto" w:frame="1"/>
        </w:rPr>
        <w:t xml:space="preserve">Im Zentrum des ORBIT 11 steht ein koaxial aufgebautes 3-Wege-System mit einem 6,5-Zoll-Mitteltöner und integriertem 1-Zoll-Hochtöner, ergänzt durch zwei seitlich angeordnete 8-Zoll-Tieftöner. Diese Konstruktion </w:t>
      </w:r>
      <w:r w:rsidR="00193771">
        <w:rPr>
          <w:rFonts w:ascii="Calibri" w:hAnsi="Calibri" w:cs="Calibri"/>
          <w:bCs/>
          <w:color w:val="0D0D0D" w:themeColor="text1" w:themeTint="F2"/>
          <w:sz w:val="22"/>
          <w:szCs w:val="22"/>
          <w:bdr w:val="none" w:sz="0" w:space="0" w:color="auto" w:frame="1"/>
        </w:rPr>
        <w:t>ermöglicht</w:t>
      </w:r>
      <w:r w:rsidRPr="000049D6">
        <w:rPr>
          <w:rFonts w:ascii="Calibri" w:hAnsi="Calibri" w:cs="Calibri"/>
          <w:bCs/>
          <w:color w:val="0D0D0D" w:themeColor="text1" w:themeTint="F2"/>
          <w:sz w:val="22"/>
          <w:szCs w:val="22"/>
          <w:bdr w:val="none" w:sz="0" w:space="0" w:color="auto" w:frame="1"/>
        </w:rPr>
        <w:t xml:space="preserve"> eine homogene Abstrahlung, hohe Ortungsschärfe </w:t>
      </w:r>
      <w:r w:rsidR="00193771">
        <w:rPr>
          <w:rFonts w:ascii="Calibri" w:hAnsi="Calibri" w:cs="Calibri"/>
          <w:bCs/>
          <w:color w:val="0D0D0D" w:themeColor="text1" w:themeTint="F2"/>
          <w:sz w:val="22"/>
          <w:szCs w:val="22"/>
          <w:bdr w:val="none" w:sz="0" w:space="0" w:color="auto" w:frame="1"/>
        </w:rPr>
        <w:t>sowie</w:t>
      </w:r>
      <w:r w:rsidRPr="000049D6">
        <w:rPr>
          <w:rFonts w:ascii="Calibri" w:hAnsi="Calibri" w:cs="Calibri"/>
          <w:bCs/>
          <w:color w:val="0D0D0D" w:themeColor="text1" w:themeTint="F2"/>
          <w:sz w:val="22"/>
          <w:szCs w:val="22"/>
          <w:bdr w:val="none" w:sz="0" w:space="0" w:color="auto" w:frame="1"/>
        </w:rPr>
        <w:t xml:space="preserve"> eine stabile Stereoabbildung über den gesamten Frequenzbereich. Mit einem Übertragungsbereich von 28 Hz bis 28 kHz (</w:t>
      </w:r>
      <w:r w:rsidR="00650A14">
        <w:rPr>
          <w:rFonts w:ascii="Calibri" w:hAnsi="Calibri" w:cs="Calibri"/>
          <w:bCs/>
          <w:color w:val="0D0D0D" w:themeColor="text1" w:themeTint="F2"/>
          <w:sz w:val="22"/>
          <w:szCs w:val="22"/>
          <w:bdr w:val="none" w:sz="0" w:space="0" w:color="auto" w:frame="1"/>
        </w:rPr>
        <w:t>-</w:t>
      </w:r>
      <w:r w:rsidRPr="000049D6">
        <w:rPr>
          <w:rFonts w:ascii="Calibri" w:hAnsi="Calibri" w:cs="Calibri"/>
          <w:bCs/>
          <w:color w:val="0D0D0D" w:themeColor="text1" w:themeTint="F2"/>
          <w:sz w:val="22"/>
          <w:szCs w:val="22"/>
          <w:bdr w:val="none" w:sz="0" w:space="0" w:color="auto" w:frame="1"/>
        </w:rPr>
        <w:t>3 dB) ermöglicht der ORBIT 11 eine vollwertige Fullrange-Wiedergabe</w:t>
      </w:r>
      <w:r w:rsidR="005E73CE">
        <w:rPr>
          <w:rFonts w:ascii="Calibri" w:hAnsi="Calibri" w:cs="Calibri"/>
          <w:bCs/>
          <w:color w:val="0D0D0D" w:themeColor="text1" w:themeTint="F2"/>
          <w:sz w:val="22"/>
          <w:szCs w:val="22"/>
          <w:bdr w:val="none" w:sz="0" w:space="0" w:color="auto" w:frame="1"/>
        </w:rPr>
        <w:t>,</w:t>
      </w:r>
      <w:r w:rsidRPr="000049D6">
        <w:rPr>
          <w:rFonts w:ascii="Calibri" w:hAnsi="Calibri" w:cs="Calibri"/>
          <w:bCs/>
          <w:color w:val="0D0D0D" w:themeColor="text1" w:themeTint="F2"/>
          <w:sz w:val="22"/>
          <w:szCs w:val="22"/>
          <w:bdr w:val="none" w:sz="0" w:space="0" w:color="auto" w:frame="1"/>
        </w:rPr>
        <w:t xml:space="preserve"> ohne </w:t>
      </w:r>
      <w:r w:rsidR="005E73CE">
        <w:rPr>
          <w:rFonts w:ascii="Calibri" w:hAnsi="Calibri" w:cs="Calibri"/>
          <w:bCs/>
          <w:color w:val="0D0D0D" w:themeColor="text1" w:themeTint="F2"/>
          <w:sz w:val="22"/>
          <w:szCs w:val="22"/>
          <w:bdr w:val="none" w:sz="0" w:space="0" w:color="auto" w:frame="1"/>
        </w:rPr>
        <w:t xml:space="preserve">auf einen </w:t>
      </w:r>
      <w:r w:rsidRPr="000049D6">
        <w:rPr>
          <w:rFonts w:ascii="Calibri" w:hAnsi="Calibri" w:cs="Calibri"/>
          <w:bCs/>
          <w:color w:val="0D0D0D" w:themeColor="text1" w:themeTint="F2"/>
          <w:sz w:val="22"/>
          <w:szCs w:val="22"/>
          <w:bdr w:val="none" w:sz="0" w:space="0" w:color="auto" w:frame="1"/>
        </w:rPr>
        <w:t>zusätzlichen Subwoofer</w:t>
      </w:r>
      <w:r w:rsidR="005E73CE">
        <w:rPr>
          <w:rFonts w:ascii="Calibri" w:hAnsi="Calibri" w:cs="Calibri"/>
          <w:bCs/>
          <w:color w:val="0D0D0D" w:themeColor="text1" w:themeTint="F2"/>
          <w:sz w:val="22"/>
          <w:szCs w:val="22"/>
          <w:bdr w:val="none" w:sz="0" w:space="0" w:color="auto" w:frame="1"/>
        </w:rPr>
        <w:t xml:space="preserve"> zurückgreifen zu müssen</w:t>
      </w:r>
      <w:r w:rsidRPr="000049D6">
        <w:rPr>
          <w:rFonts w:ascii="Calibri" w:hAnsi="Calibri" w:cs="Calibri"/>
          <w:bCs/>
          <w:color w:val="0D0D0D" w:themeColor="text1" w:themeTint="F2"/>
          <w:sz w:val="22"/>
          <w:szCs w:val="22"/>
          <w:bdr w:val="none" w:sz="0" w:space="0" w:color="auto" w:frame="1"/>
        </w:rPr>
        <w:t>.</w:t>
      </w:r>
    </w:p>
    <w:p w14:paraId="11178CC3" w14:textId="77777777" w:rsidR="000049D6" w:rsidRPr="000049D6" w:rsidRDefault="000049D6" w:rsidP="000049D6">
      <w:pPr>
        <w:shd w:val="clear" w:color="auto" w:fill="FFFFFF"/>
        <w:rPr>
          <w:rFonts w:ascii="Calibri" w:hAnsi="Calibri" w:cs="Calibri"/>
          <w:bCs/>
          <w:color w:val="0D0D0D" w:themeColor="text1" w:themeTint="F2"/>
          <w:sz w:val="22"/>
          <w:szCs w:val="22"/>
          <w:bdr w:val="none" w:sz="0" w:space="0" w:color="auto" w:frame="1"/>
        </w:rPr>
      </w:pPr>
    </w:p>
    <w:p w14:paraId="4F7FDFD8" w14:textId="71C2BA34" w:rsidR="000049D6" w:rsidRPr="000049D6" w:rsidRDefault="000049D6" w:rsidP="000049D6">
      <w:pPr>
        <w:shd w:val="clear" w:color="auto" w:fill="FFFFFF"/>
        <w:rPr>
          <w:rFonts w:ascii="Calibri" w:hAnsi="Calibri" w:cs="Calibri"/>
          <w:bCs/>
          <w:color w:val="0D0D0D" w:themeColor="text1" w:themeTint="F2"/>
          <w:sz w:val="22"/>
          <w:szCs w:val="22"/>
          <w:bdr w:val="none" w:sz="0" w:space="0" w:color="auto" w:frame="1"/>
        </w:rPr>
      </w:pPr>
      <w:r w:rsidRPr="000049D6">
        <w:rPr>
          <w:rFonts w:ascii="Calibri" w:hAnsi="Calibri" w:cs="Calibri"/>
          <w:bCs/>
          <w:color w:val="0D0D0D" w:themeColor="text1" w:themeTint="F2"/>
          <w:sz w:val="22"/>
          <w:szCs w:val="22"/>
          <w:bdr w:val="none" w:sz="0" w:space="0" w:color="auto" w:frame="1"/>
        </w:rPr>
        <w:t>Für die Signalverarbeitung setzt Palmer auf ein hochauflösendes FIR-DSP mit 96 kHz und 24 Bit. Die linear</w:t>
      </w:r>
      <w:r w:rsidR="008B7BC8">
        <w:rPr>
          <w:rFonts w:ascii="Calibri" w:hAnsi="Calibri" w:cs="Calibri"/>
          <w:bCs/>
          <w:color w:val="0D0D0D" w:themeColor="text1" w:themeTint="F2"/>
          <w:sz w:val="22"/>
          <w:szCs w:val="22"/>
          <w:bdr w:val="none" w:sz="0" w:space="0" w:color="auto" w:frame="1"/>
        </w:rPr>
        <w:t>phasigen Filter</w:t>
      </w:r>
      <w:r w:rsidRPr="000049D6">
        <w:rPr>
          <w:rFonts w:ascii="Calibri" w:hAnsi="Calibri" w:cs="Calibri"/>
          <w:bCs/>
          <w:color w:val="0D0D0D" w:themeColor="text1" w:themeTint="F2"/>
          <w:sz w:val="22"/>
          <w:szCs w:val="22"/>
          <w:bdr w:val="none" w:sz="0" w:space="0" w:color="auto" w:frame="1"/>
        </w:rPr>
        <w:t xml:space="preserve"> mit einer Latenz von </w:t>
      </w:r>
      <w:r w:rsidR="008B7BC8">
        <w:rPr>
          <w:rFonts w:ascii="Calibri" w:hAnsi="Calibri" w:cs="Calibri"/>
          <w:bCs/>
          <w:color w:val="0D0D0D" w:themeColor="text1" w:themeTint="F2"/>
          <w:sz w:val="22"/>
          <w:szCs w:val="22"/>
          <w:bdr w:val="none" w:sz="0" w:space="0" w:color="auto" w:frame="1"/>
        </w:rPr>
        <w:t xml:space="preserve">lediglich </w:t>
      </w:r>
      <w:r w:rsidRPr="000049D6">
        <w:rPr>
          <w:rFonts w:ascii="Calibri" w:hAnsi="Calibri" w:cs="Calibri"/>
          <w:bCs/>
          <w:color w:val="0D0D0D" w:themeColor="text1" w:themeTint="F2"/>
          <w:sz w:val="22"/>
          <w:szCs w:val="22"/>
          <w:bdr w:val="none" w:sz="0" w:space="0" w:color="auto" w:frame="1"/>
        </w:rPr>
        <w:t xml:space="preserve">4 </w:t>
      </w:r>
      <w:r w:rsidR="008B7BC8">
        <w:rPr>
          <w:rFonts w:ascii="Calibri" w:hAnsi="Calibri" w:cs="Calibri"/>
          <w:bCs/>
          <w:color w:val="0D0D0D" w:themeColor="text1" w:themeTint="F2"/>
          <w:sz w:val="22"/>
          <w:szCs w:val="22"/>
          <w:bdr w:val="none" w:sz="0" w:space="0" w:color="auto" w:frame="1"/>
        </w:rPr>
        <w:t>Millisekunden</w:t>
      </w:r>
      <w:r w:rsidRPr="000049D6">
        <w:rPr>
          <w:rFonts w:ascii="Calibri" w:hAnsi="Calibri" w:cs="Calibri"/>
          <w:bCs/>
          <w:color w:val="0D0D0D" w:themeColor="text1" w:themeTint="F2"/>
          <w:sz w:val="22"/>
          <w:szCs w:val="22"/>
          <w:bdr w:val="none" w:sz="0" w:space="0" w:color="auto" w:frame="1"/>
        </w:rPr>
        <w:t xml:space="preserve"> gewährleiste</w:t>
      </w:r>
      <w:r w:rsidR="008B7BC8">
        <w:rPr>
          <w:rFonts w:ascii="Calibri" w:hAnsi="Calibri" w:cs="Calibri"/>
          <w:bCs/>
          <w:color w:val="0D0D0D" w:themeColor="text1" w:themeTint="F2"/>
          <w:sz w:val="22"/>
          <w:szCs w:val="22"/>
          <w:bdr w:val="none" w:sz="0" w:space="0" w:color="auto" w:frame="1"/>
        </w:rPr>
        <w:t>n</w:t>
      </w:r>
      <w:r w:rsidRPr="000049D6">
        <w:rPr>
          <w:rFonts w:ascii="Calibri" w:hAnsi="Calibri" w:cs="Calibri"/>
          <w:bCs/>
          <w:color w:val="0D0D0D" w:themeColor="text1" w:themeTint="F2"/>
          <w:sz w:val="22"/>
          <w:szCs w:val="22"/>
          <w:bdr w:val="none" w:sz="0" w:space="0" w:color="auto" w:frame="1"/>
        </w:rPr>
        <w:t xml:space="preserve"> ein präzises Impulsverhalten und eine unverfälschte Darstellung </w:t>
      </w:r>
      <w:r w:rsidR="00201F6D">
        <w:rPr>
          <w:rFonts w:ascii="Calibri" w:hAnsi="Calibri" w:cs="Calibri"/>
          <w:bCs/>
          <w:color w:val="0D0D0D" w:themeColor="text1" w:themeTint="F2"/>
          <w:sz w:val="22"/>
          <w:szCs w:val="22"/>
          <w:bdr w:val="none" w:sz="0" w:space="0" w:color="auto" w:frame="1"/>
        </w:rPr>
        <w:t>von Signalen</w:t>
      </w:r>
      <w:r w:rsidRPr="000049D6">
        <w:rPr>
          <w:rFonts w:ascii="Calibri" w:hAnsi="Calibri" w:cs="Calibri"/>
          <w:bCs/>
          <w:color w:val="0D0D0D" w:themeColor="text1" w:themeTint="F2"/>
          <w:sz w:val="22"/>
          <w:szCs w:val="22"/>
          <w:bdr w:val="none" w:sz="0" w:space="0" w:color="auto" w:frame="1"/>
        </w:rPr>
        <w:t xml:space="preserve">. Die integrierte Class-D-Endstufe liefert bis zu 1.000 </w:t>
      </w:r>
      <w:r w:rsidR="002D1F46">
        <w:rPr>
          <w:rFonts w:ascii="Calibri" w:hAnsi="Calibri" w:cs="Calibri"/>
          <w:bCs/>
          <w:color w:val="0D0D0D" w:themeColor="text1" w:themeTint="F2"/>
          <w:sz w:val="22"/>
          <w:szCs w:val="22"/>
          <w:bdr w:val="none" w:sz="0" w:space="0" w:color="auto" w:frame="1"/>
        </w:rPr>
        <w:t>W</w:t>
      </w:r>
      <w:r w:rsidRPr="000049D6">
        <w:rPr>
          <w:rFonts w:ascii="Calibri" w:hAnsi="Calibri" w:cs="Calibri"/>
          <w:bCs/>
          <w:color w:val="0D0D0D" w:themeColor="text1" w:themeTint="F2"/>
          <w:sz w:val="22"/>
          <w:szCs w:val="22"/>
          <w:bdr w:val="none" w:sz="0" w:space="0" w:color="auto" w:frame="1"/>
        </w:rPr>
        <w:t xml:space="preserve"> Peak-Leistung </w:t>
      </w:r>
      <w:r w:rsidR="002D1F46">
        <w:rPr>
          <w:rFonts w:ascii="Calibri" w:hAnsi="Calibri" w:cs="Calibri"/>
          <w:bCs/>
          <w:color w:val="0D0D0D" w:themeColor="text1" w:themeTint="F2"/>
          <w:sz w:val="22"/>
          <w:szCs w:val="22"/>
          <w:bdr w:val="none" w:sz="0" w:space="0" w:color="auto" w:frame="1"/>
        </w:rPr>
        <w:t>(</w:t>
      </w:r>
      <w:r w:rsidRPr="000049D6">
        <w:rPr>
          <w:rFonts w:ascii="Calibri" w:hAnsi="Calibri" w:cs="Calibri"/>
          <w:bCs/>
          <w:color w:val="0D0D0D" w:themeColor="text1" w:themeTint="F2"/>
          <w:sz w:val="22"/>
          <w:szCs w:val="22"/>
          <w:bdr w:val="none" w:sz="0" w:space="0" w:color="auto" w:frame="1"/>
        </w:rPr>
        <w:t xml:space="preserve">400 </w:t>
      </w:r>
      <w:r w:rsidR="002D1F46">
        <w:rPr>
          <w:rFonts w:ascii="Calibri" w:hAnsi="Calibri" w:cs="Calibri"/>
          <w:bCs/>
          <w:color w:val="0D0D0D" w:themeColor="text1" w:themeTint="F2"/>
          <w:sz w:val="22"/>
          <w:szCs w:val="22"/>
          <w:bdr w:val="none" w:sz="0" w:space="0" w:color="auto" w:frame="1"/>
        </w:rPr>
        <w:t>W</w:t>
      </w:r>
      <w:r w:rsidRPr="000049D6">
        <w:rPr>
          <w:rFonts w:ascii="Calibri" w:hAnsi="Calibri" w:cs="Calibri"/>
          <w:bCs/>
          <w:color w:val="0D0D0D" w:themeColor="text1" w:themeTint="F2"/>
          <w:sz w:val="22"/>
          <w:szCs w:val="22"/>
          <w:bdr w:val="none" w:sz="0" w:space="0" w:color="auto" w:frame="1"/>
        </w:rPr>
        <w:t xml:space="preserve"> RMS</w:t>
      </w:r>
      <w:r w:rsidR="002D1F46">
        <w:rPr>
          <w:rFonts w:ascii="Calibri" w:hAnsi="Calibri" w:cs="Calibri"/>
          <w:bCs/>
          <w:color w:val="0D0D0D" w:themeColor="text1" w:themeTint="F2"/>
          <w:sz w:val="22"/>
          <w:szCs w:val="22"/>
          <w:bdr w:val="none" w:sz="0" w:space="0" w:color="auto" w:frame="1"/>
        </w:rPr>
        <w:t>)</w:t>
      </w:r>
      <w:r w:rsidRPr="000049D6">
        <w:rPr>
          <w:rFonts w:ascii="Calibri" w:hAnsi="Calibri" w:cs="Calibri"/>
          <w:bCs/>
          <w:color w:val="0D0D0D" w:themeColor="text1" w:themeTint="F2"/>
          <w:sz w:val="22"/>
          <w:szCs w:val="22"/>
          <w:bdr w:val="none" w:sz="0" w:space="0" w:color="auto" w:frame="1"/>
        </w:rPr>
        <w:t xml:space="preserve"> und erreicht einen maximalen Schalldruck</w:t>
      </w:r>
      <w:r w:rsidR="002D1F46">
        <w:rPr>
          <w:rFonts w:ascii="Calibri" w:hAnsi="Calibri" w:cs="Calibri"/>
          <w:bCs/>
          <w:color w:val="0D0D0D" w:themeColor="text1" w:themeTint="F2"/>
          <w:sz w:val="22"/>
          <w:szCs w:val="22"/>
          <w:bdr w:val="none" w:sz="0" w:space="0" w:color="auto" w:frame="1"/>
        </w:rPr>
        <w:t>pegel</w:t>
      </w:r>
      <w:r w:rsidRPr="000049D6">
        <w:rPr>
          <w:rFonts w:ascii="Calibri" w:hAnsi="Calibri" w:cs="Calibri"/>
          <w:bCs/>
          <w:color w:val="0D0D0D" w:themeColor="text1" w:themeTint="F2"/>
          <w:sz w:val="22"/>
          <w:szCs w:val="22"/>
          <w:bdr w:val="none" w:sz="0" w:space="0" w:color="auto" w:frame="1"/>
        </w:rPr>
        <w:t xml:space="preserve"> von 116 dB SPL – ausreichend </w:t>
      </w:r>
      <w:r w:rsidR="002D1F46">
        <w:rPr>
          <w:rFonts w:ascii="Calibri" w:hAnsi="Calibri" w:cs="Calibri"/>
          <w:bCs/>
          <w:color w:val="0D0D0D" w:themeColor="text1" w:themeTint="F2"/>
          <w:sz w:val="22"/>
          <w:szCs w:val="22"/>
          <w:bdr w:val="none" w:sz="0" w:space="0" w:color="auto" w:frame="1"/>
        </w:rPr>
        <w:t xml:space="preserve">Leistung und </w:t>
      </w:r>
      <w:r w:rsidRPr="000049D6">
        <w:rPr>
          <w:rFonts w:ascii="Calibri" w:hAnsi="Calibri" w:cs="Calibri"/>
          <w:bCs/>
          <w:color w:val="0D0D0D" w:themeColor="text1" w:themeTint="F2"/>
          <w:sz w:val="22"/>
          <w:szCs w:val="22"/>
          <w:bdr w:val="none" w:sz="0" w:space="0" w:color="auto" w:frame="1"/>
        </w:rPr>
        <w:t>Headroom auch für größere Regieräume und</w:t>
      </w:r>
      <w:r w:rsidR="002D1F46">
        <w:rPr>
          <w:rFonts w:ascii="Calibri" w:hAnsi="Calibri" w:cs="Calibri"/>
          <w:bCs/>
          <w:color w:val="0D0D0D" w:themeColor="text1" w:themeTint="F2"/>
          <w:sz w:val="22"/>
          <w:szCs w:val="22"/>
          <w:bdr w:val="none" w:sz="0" w:space="0" w:color="auto" w:frame="1"/>
        </w:rPr>
        <w:t xml:space="preserve"> ein</w:t>
      </w:r>
      <w:r w:rsidRPr="000049D6">
        <w:rPr>
          <w:rFonts w:ascii="Calibri" w:hAnsi="Calibri" w:cs="Calibri"/>
          <w:bCs/>
          <w:color w:val="0D0D0D" w:themeColor="text1" w:themeTint="F2"/>
          <w:sz w:val="22"/>
          <w:szCs w:val="22"/>
          <w:bdr w:val="none" w:sz="0" w:space="0" w:color="auto" w:frame="1"/>
        </w:rPr>
        <w:t xml:space="preserve"> kontrolliertes Abhören bei höheren Pegeln.</w:t>
      </w:r>
    </w:p>
    <w:p w14:paraId="77BB347C" w14:textId="77777777" w:rsidR="000049D6" w:rsidRPr="000049D6" w:rsidRDefault="000049D6" w:rsidP="000049D6">
      <w:pPr>
        <w:shd w:val="clear" w:color="auto" w:fill="FFFFFF"/>
        <w:rPr>
          <w:rFonts w:ascii="Calibri" w:hAnsi="Calibri" w:cs="Calibri"/>
          <w:bCs/>
          <w:color w:val="0D0D0D" w:themeColor="text1" w:themeTint="F2"/>
          <w:sz w:val="22"/>
          <w:szCs w:val="22"/>
          <w:bdr w:val="none" w:sz="0" w:space="0" w:color="auto" w:frame="1"/>
        </w:rPr>
      </w:pPr>
    </w:p>
    <w:p w14:paraId="63D98323" w14:textId="6949F6C1" w:rsidR="000049D6" w:rsidRPr="000049D6" w:rsidRDefault="000049D6" w:rsidP="000049D6">
      <w:pPr>
        <w:shd w:val="clear" w:color="auto" w:fill="FFFFFF"/>
        <w:rPr>
          <w:rFonts w:ascii="Calibri" w:hAnsi="Calibri" w:cs="Calibri"/>
          <w:bCs/>
          <w:color w:val="0D0D0D" w:themeColor="text1" w:themeTint="F2"/>
          <w:sz w:val="22"/>
          <w:szCs w:val="22"/>
          <w:bdr w:val="none" w:sz="0" w:space="0" w:color="auto" w:frame="1"/>
        </w:rPr>
      </w:pPr>
      <w:r w:rsidRPr="000049D6">
        <w:rPr>
          <w:rFonts w:ascii="Calibri" w:hAnsi="Calibri" w:cs="Calibri"/>
          <w:bCs/>
          <w:color w:val="0D0D0D" w:themeColor="text1" w:themeTint="F2"/>
          <w:sz w:val="22"/>
          <w:szCs w:val="22"/>
          <w:bdr w:val="none" w:sz="0" w:space="0" w:color="auto" w:frame="1"/>
        </w:rPr>
        <w:t xml:space="preserve">Der ORBIT 11 bietet umfangreiche Anpassungsoptionen an Raumakustik und Aufstellung. Dazu </w:t>
      </w:r>
      <w:r w:rsidR="00287F76">
        <w:rPr>
          <w:rFonts w:ascii="Calibri" w:hAnsi="Calibri" w:cs="Calibri"/>
          <w:bCs/>
          <w:color w:val="0D0D0D" w:themeColor="text1" w:themeTint="F2"/>
          <w:sz w:val="22"/>
          <w:szCs w:val="22"/>
          <w:bdr w:val="none" w:sz="0" w:space="0" w:color="auto" w:frame="1"/>
        </w:rPr>
        <w:t xml:space="preserve">gehören ein </w:t>
      </w:r>
      <w:r w:rsidRPr="000049D6">
        <w:rPr>
          <w:rFonts w:ascii="Calibri" w:hAnsi="Calibri" w:cs="Calibri"/>
          <w:bCs/>
          <w:color w:val="0D0D0D" w:themeColor="text1" w:themeTint="F2"/>
          <w:sz w:val="22"/>
          <w:szCs w:val="22"/>
          <w:bdr w:val="none" w:sz="0" w:space="0" w:color="auto" w:frame="1"/>
        </w:rPr>
        <w:t>parametrische</w:t>
      </w:r>
      <w:r w:rsidR="00287F76">
        <w:rPr>
          <w:rFonts w:ascii="Calibri" w:hAnsi="Calibri" w:cs="Calibri"/>
          <w:bCs/>
          <w:color w:val="0D0D0D" w:themeColor="text1" w:themeTint="F2"/>
          <w:sz w:val="22"/>
          <w:szCs w:val="22"/>
          <w:bdr w:val="none" w:sz="0" w:space="0" w:color="auto" w:frame="1"/>
        </w:rPr>
        <w:t>r 3-Band-</w:t>
      </w:r>
      <w:r w:rsidRPr="000049D6">
        <w:rPr>
          <w:rFonts w:ascii="Calibri" w:hAnsi="Calibri" w:cs="Calibri"/>
          <w:bCs/>
          <w:color w:val="0D0D0D" w:themeColor="text1" w:themeTint="F2"/>
          <w:sz w:val="22"/>
          <w:szCs w:val="22"/>
          <w:bdr w:val="none" w:sz="0" w:space="0" w:color="auto" w:frame="1"/>
        </w:rPr>
        <w:t>EQ, Hochpassfilter</w:t>
      </w:r>
      <w:r w:rsidR="00B25BE3">
        <w:rPr>
          <w:rFonts w:ascii="Calibri" w:hAnsi="Calibri" w:cs="Calibri"/>
          <w:bCs/>
          <w:color w:val="0D0D0D" w:themeColor="text1" w:themeTint="F2"/>
          <w:sz w:val="22"/>
          <w:szCs w:val="22"/>
          <w:bdr w:val="none" w:sz="0" w:space="0" w:color="auto" w:frame="1"/>
        </w:rPr>
        <w:t xml:space="preserve"> sowie</w:t>
      </w:r>
      <w:r w:rsidRPr="000049D6">
        <w:rPr>
          <w:rFonts w:ascii="Calibri" w:hAnsi="Calibri" w:cs="Calibri"/>
          <w:bCs/>
          <w:color w:val="0D0D0D" w:themeColor="text1" w:themeTint="F2"/>
          <w:sz w:val="22"/>
          <w:szCs w:val="22"/>
          <w:bdr w:val="none" w:sz="0" w:space="0" w:color="auto" w:frame="1"/>
        </w:rPr>
        <w:t xml:space="preserve"> Presets für verschiedene </w:t>
      </w:r>
      <w:r w:rsidR="00040653">
        <w:rPr>
          <w:rFonts w:ascii="Calibri" w:hAnsi="Calibri" w:cs="Calibri"/>
          <w:bCs/>
          <w:color w:val="0D0D0D" w:themeColor="text1" w:themeTint="F2"/>
          <w:sz w:val="22"/>
          <w:szCs w:val="22"/>
          <w:bdr w:val="none" w:sz="0" w:space="0" w:color="auto" w:frame="1"/>
        </w:rPr>
        <w:t>Positionierungen und Abstände der Lautsprecher zur Wand</w:t>
      </w:r>
      <w:r w:rsidRPr="000049D6">
        <w:rPr>
          <w:rFonts w:ascii="Calibri" w:hAnsi="Calibri" w:cs="Calibri"/>
          <w:bCs/>
          <w:color w:val="0D0D0D" w:themeColor="text1" w:themeTint="F2"/>
          <w:sz w:val="22"/>
          <w:szCs w:val="22"/>
          <w:bdr w:val="none" w:sz="0" w:space="0" w:color="auto" w:frame="1"/>
        </w:rPr>
        <w:t xml:space="preserve">. Die Bedienung erfolgt über ein übersichtlich gestaltetes Bedienfeld auf der Gehäuseoberseite, das </w:t>
      </w:r>
      <w:r w:rsidR="00B25BE3">
        <w:rPr>
          <w:rFonts w:ascii="Calibri" w:hAnsi="Calibri" w:cs="Calibri"/>
          <w:bCs/>
          <w:color w:val="0D0D0D" w:themeColor="text1" w:themeTint="F2"/>
          <w:sz w:val="22"/>
          <w:szCs w:val="22"/>
          <w:bdr w:val="none" w:sz="0" w:space="0" w:color="auto" w:frame="1"/>
        </w:rPr>
        <w:t xml:space="preserve">den </w:t>
      </w:r>
      <w:r w:rsidRPr="000049D6">
        <w:rPr>
          <w:rFonts w:ascii="Calibri" w:hAnsi="Calibri" w:cs="Calibri"/>
          <w:bCs/>
          <w:color w:val="0D0D0D" w:themeColor="text1" w:themeTint="F2"/>
          <w:sz w:val="22"/>
          <w:szCs w:val="22"/>
          <w:bdr w:val="none" w:sz="0" w:space="0" w:color="auto" w:frame="1"/>
        </w:rPr>
        <w:t xml:space="preserve">schnellen Zugriff ermöglicht, ohne </w:t>
      </w:r>
      <w:r w:rsidR="00B25BE3">
        <w:rPr>
          <w:rFonts w:ascii="Calibri" w:hAnsi="Calibri" w:cs="Calibri"/>
          <w:bCs/>
          <w:color w:val="0D0D0D" w:themeColor="text1" w:themeTint="F2"/>
          <w:sz w:val="22"/>
          <w:szCs w:val="22"/>
          <w:bdr w:val="none" w:sz="0" w:space="0" w:color="auto" w:frame="1"/>
        </w:rPr>
        <w:t xml:space="preserve">umständlich </w:t>
      </w:r>
      <w:r w:rsidRPr="000049D6">
        <w:rPr>
          <w:rFonts w:ascii="Calibri" w:hAnsi="Calibri" w:cs="Calibri"/>
          <w:bCs/>
          <w:color w:val="0D0D0D" w:themeColor="text1" w:themeTint="F2"/>
          <w:sz w:val="22"/>
          <w:szCs w:val="22"/>
          <w:bdr w:val="none" w:sz="0" w:space="0" w:color="auto" w:frame="1"/>
        </w:rPr>
        <w:t>hinter den Monitor greifen zu müssen.</w:t>
      </w:r>
    </w:p>
    <w:p w14:paraId="2A88CCED" w14:textId="77777777" w:rsidR="000049D6" w:rsidRPr="000049D6" w:rsidRDefault="000049D6" w:rsidP="000049D6">
      <w:pPr>
        <w:shd w:val="clear" w:color="auto" w:fill="FFFFFF"/>
        <w:rPr>
          <w:rFonts w:ascii="Calibri" w:hAnsi="Calibri" w:cs="Calibri"/>
          <w:bCs/>
          <w:color w:val="0D0D0D" w:themeColor="text1" w:themeTint="F2"/>
          <w:sz w:val="22"/>
          <w:szCs w:val="22"/>
          <w:bdr w:val="none" w:sz="0" w:space="0" w:color="auto" w:frame="1"/>
        </w:rPr>
      </w:pPr>
    </w:p>
    <w:p w14:paraId="5D2A7990" w14:textId="245E0427" w:rsidR="000049D6" w:rsidRPr="000049D6" w:rsidRDefault="000049D6" w:rsidP="000049D6">
      <w:pPr>
        <w:shd w:val="clear" w:color="auto" w:fill="FFFFFF"/>
        <w:rPr>
          <w:rFonts w:ascii="Calibri" w:hAnsi="Calibri" w:cs="Calibri"/>
          <w:bCs/>
          <w:color w:val="0D0D0D" w:themeColor="text1" w:themeTint="F2"/>
          <w:sz w:val="22"/>
          <w:szCs w:val="22"/>
          <w:bdr w:val="none" w:sz="0" w:space="0" w:color="auto" w:frame="1"/>
        </w:rPr>
      </w:pPr>
      <w:r w:rsidRPr="000049D6">
        <w:rPr>
          <w:rFonts w:ascii="Calibri" w:hAnsi="Calibri" w:cs="Calibri"/>
          <w:bCs/>
          <w:color w:val="0D0D0D" w:themeColor="text1" w:themeTint="F2"/>
          <w:sz w:val="22"/>
          <w:szCs w:val="22"/>
          <w:bdr w:val="none" w:sz="0" w:space="0" w:color="auto" w:frame="1"/>
        </w:rPr>
        <w:t>Neben analogen XLR-Eingängen verfügt der ORBIT 11 über AES3-</w:t>
      </w:r>
      <w:r w:rsidR="00CD1F0F">
        <w:rPr>
          <w:rFonts w:ascii="Calibri" w:hAnsi="Calibri" w:cs="Calibri"/>
          <w:bCs/>
          <w:color w:val="0D0D0D" w:themeColor="text1" w:themeTint="F2"/>
          <w:sz w:val="22"/>
          <w:szCs w:val="22"/>
          <w:bdr w:val="none" w:sz="0" w:space="0" w:color="auto" w:frame="1"/>
        </w:rPr>
        <w:t>Anschlüsse</w:t>
      </w:r>
      <w:r w:rsidRPr="000049D6">
        <w:rPr>
          <w:rFonts w:ascii="Calibri" w:hAnsi="Calibri" w:cs="Calibri"/>
          <w:bCs/>
          <w:color w:val="0D0D0D" w:themeColor="text1" w:themeTint="F2"/>
          <w:sz w:val="22"/>
          <w:szCs w:val="22"/>
          <w:bdr w:val="none" w:sz="0" w:space="0" w:color="auto" w:frame="1"/>
        </w:rPr>
        <w:t xml:space="preserve"> </w:t>
      </w:r>
      <w:r w:rsidR="00CD1F0F">
        <w:rPr>
          <w:rFonts w:ascii="Calibri" w:hAnsi="Calibri" w:cs="Calibri"/>
          <w:bCs/>
          <w:color w:val="0D0D0D" w:themeColor="text1" w:themeTint="F2"/>
          <w:sz w:val="22"/>
          <w:szCs w:val="22"/>
          <w:bdr w:val="none" w:sz="0" w:space="0" w:color="auto" w:frame="1"/>
        </w:rPr>
        <w:t xml:space="preserve">zur </w:t>
      </w:r>
      <w:r w:rsidRPr="000049D6">
        <w:rPr>
          <w:rFonts w:ascii="Calibri" w:hAnsi="Calibri" w:cs="Calibri"/>
          <w:bCs/>
          <w:color w:val="0D0D0D" w:themeColor="text1" w:themeTint="F2"/>
          <w:sz w:val="22"/>
          <w:szCs w:val="22"/>
          <w:bdr w:val="none" w:sz="0" w:space="0" w:color="auto" w:frame="1"/>
        </w:rPr>
        <w:t xml:space="preserve">digitalen Signalführung und einfachen Durchschleifung. Das resonanzarme Druckguss-Aluminiumgehäuse mit entkoppelten Standfüßen reduziert mechanische Einflüsse und trägt zu einer sauberen, kontrollierten Wiedergabe bei. Der </w:t>
      </w:r>
      <w:r w:rsidR="00CD1F0F">
        <w:rPr>
          <w:rFonts w:ascii="Calibri" w:hAnsi="Calibri" w:cs="Calibri"/>
          <w:bCs/>
          <w:color w:val="0D0D0D" w:themeColor="text1" w:themeTint="F2"/>
          <w:sz w:val="22"/>
          <w:szCs w:val="22"/>
          <w:bdr w:val="none" w:sz="0" w:space="0" w:color="auto" w:frame="1"/>
        </w:rPr>
        <w:t xml:space="preserve">ORBIT 11 </w:t>
      </w:r>
      <w:r w:rsidRPr="000049D6">
        <w:rPr>
          <w:rFonts w:ascii="Calibri" w:hAnsi="Calibri" w:cs="Calibri"/>
          <w:bCs/>
          <w:color w:val="0D0D0D" w:themeColor="text1" w:themeTint="F2"/>
          <w:sz w:val="22"/>
          <w:szCs w:val="22"/>
          <w:bdr w:val="none" w:sz="0" w:space="0" w:color="auto" w:frame="1"/>
        </w:rPr>
        <w:t>ist wahlweise in schwarzer oder weißer Ausführung erhältlich und fügt sich flexibel in unterschiedliche Studio-Setups ein.</w:t>
      </w:r>
    </w:p>
    <w:p w14:paraId="07978C47" w14:textId="77777777" w:rsidR="000049D6" w:rsidRPr="000049D6" w:rsidRDefault="000049D6" w:rsidP="000049D6">
      <w:pPr>
        <w:shd w:val="clear" w:color="auto" w:fill="FFFFFF"/>
        <w:rPr>
          <w:rFonts w:ascii="Calibri" w:hAnsi="Calibri" w:cs="Calibri"/>
          <w:bCs/>
          <w:color w:val="0D0D0D" w:themeColor="text1" w:themeTint="F2"/>
          <w:sz w:val="22"/>
          <w:szCs w:val="22"/>
          <w:bdr w:val="none" w:sz="0" w:space="0" w:color="auto" w:frame="1"/>
        </w:rPr>
      </w:pPr>
    </w:p>
    <w:p w14:paraId="158945AD" w14:textId="5A527591" w:rsidR="008A52C9" w:rsidRPr="000049D6" w:rsidRDefault="000049D6" w:rsidP="000049D6">
      <w:pPr>
        <w:shd w:val="clear" w:color="auto" w:fill="FFFFFF"/>
        <w:rPr>
          <w:rFonts w:ascii="Calibri" w:hAnsi="Calibri" w:cs="Calibri"/>
          <w:bCs/>
          <w:color w:val="0D0D0D" w:themeColor="text1" w:themeTint="F2"/>
          <w:sz w:val="22"/>
          <w:szCs w:val="22"/>
          <w:bdr w:val="none" w:sz="0" w:space="0" w:color="auto" w:frame="1"/>
        </w:rPr>
      </w:pPr>
      <w:r w:rsidRPr="000049D6">
        <w:rPr>
          <w:rFonts w:ascii="Calibri" w:hAnsi="Calibri" w:cs="Calibri"/>
          <w:bCs/>
          <w:color w:val="0D0D0D" w:themeColor="text1" w:themeTint="F2"/>
          <w:sz w:val="22"/>
          <w:szCs w:val="22"/>
          <w:bdr w:val="none" w:sz="0" w:space="0" w:color="auto" w:frame="1"/>
        </w:rPr>
        <w:t xml:space="preserve">Der Palmer ORBIT 11 ist ab Februar 2026 </w:t>
      </w:r>
      <w:r w:rsidR="00810946">
        <w:rPr>
          <w:rFonts w:ascii="Calibri" w:hAnsi="Calibri" w:cs="Calibri"/>
          <w:bCs/>
          <w:color w:val="0D0D0D" w:themeColor="text1" w:themeTint="F2"/>
          <w:sz w:val="22"/>
          <w:szCs w:val="22"/>
          <w:bdr w:val="none" w:sz="0" w:space="0" w:color="auto" w:frame="1"/>
        </w:rPr>
        <w:t xml:space="preserve">zu einer </w:t>
      </w:r>
      <w:r w:rsidR="00810946" w:rsidRPr="00195755">
        <w:rPr>
          <w:rFonts w:ascii="Calibri" w:hAnsi="Calibri" w:cs="Calibri"/>
          <w:bCs/>
          <w:color w:val="0D0D0D" w:themeColor="text1" w:themeTint="F2"/>
          <w:sz w:val="22"/>
          <w:szCs w:val="22"/>
          <w:bdr w:val="none" w:sz="0" w:space="0" w:color="auto" w:frame="1"/>
        </w:rPr>
        <w:t xml:space="preserve">UVP von </w:t>
      </w:r>
      <w:r w:rsidR="00810946">
        <w:rPr>
          <w:rFonts w:ascii="Calibri" w:hAnsi="Calibri" w:cs="Calibri"/>
          <w:bCs/>
          <w:color w:val="0D0D0D" w:themeColor="text1" w:themeTint="F2"/>
          <w:sz w:val="22"/>
          <w:szCs w:val="22"/>
          <w:bdr w:val="none" w:sz="0" w:space="0" w:color="auto" w:frame="1"/>
        </w:rPr>
        <w:t>799</w:t>
      </w:r>
      <w:r w:rsidR="00810946" w:rsidRPr="00195755">
        <w:rPr>
          <w:rFonts w:ascii="Calibri" w:hAnsi="Calibri" w:cs="Calibri"/>
          <w:bCs/>
          <w:color w:val="0D0D0D" w:themeColor="text1" w:themeTint="F2"/>
          <w:sz w:val="22"/>
          <w:szCs w:val="22"/>
          <w:bdr w:val="none" w:sz="0" w:space="0" w:color="auto" w:frame="1"/>
        </w:rPr>
        <w:t>,- Euro (inkl. MwSt.)</w:t>
      </w:r>
      <w:r w:rsidR="00810946">
        <w:rPr>
          <w:rFonts w:ascii="Calibri" w:hAnsi="Calibri" w:cs="Calibri"/>
          <w:bCs/>
          <w:color w:val="0D0D0D" w:themeColor="text1" w:themeTint="F2"/>
          <w:sz w:val="22"/>
          <w:szCs w:val="22"/>
          <w:bdr w:val="none" w:sz="0" w:space="0" w:color="auto" w:frame="1"/>
        </w:rPr>
        <w:t xml:space="preserve"> </w:t>
      </w:r>
      <w:r w:rsidRPr="000049D6">
        <w:rPr>
          <w:rFonts w:ascii="Calibri" w:hAnsi="Calibri" w:cs="Calibri"/>
          <w:bCs/>
          <w:color w:val="0D0D0D" w:themeColor="text1" w:themeTint="F2"/>
          <w:sz w:val="22"/>
          <w:szCs w:val="22"/>
          <w:bdr w:val="none" w:sz="0" w:space="0" w:color="auto" w:frame="1"/>
        </w:rPr>
        <w:t>erhältlich.</w:t>
      </w:r>
    </w:p>
    <w:p w14:paraId="40ADA049" w14:textId="77777777" w:rsidR="002F20E1" w:rsidRPr="008A52C9" w:rsidRDefault="002F20E1" w:rsidP="000C4ECE">
      <w:pPr>
        <w:pStyle w:val="KeinLeerraum"/>
        <w:rPr>
          <w:rFonts w:ascii="Calibri" w:hAnsi="Calibri" w:cs="Calibri"/>
          <w:color w:val="0D0D0D" w:themeColor="text1" w:themeTint="F2"/>
          <w:sz w:val="22"/>
          <w:szCs w:val="22"/>
        </w:rPr>
      </w:pPr>
    </w:p>
    <w:p w14:paraId="5FEAF5D2" w14:textId="6C88875D" w:rsidR="006D2E7A" w:rsidRPr="0010551F" w:rsidRDefault="00ED5787" w:rsidP="000C4ECE">
      <w:pPr>
        <w:pStyle w:val="KeinLeerraum"/>
        <w:rPr>
          <w:rFonts w:ascii="Calibri" w:hAnsi="Calibri" w:cs="Calibri"/>
          <w:color w:val="0D0D0D" w:themeColor="text1" w:themeTint="F2"/>
          <w:sz w:val="22"/>
          <w:szCs w:val="22"/>
        </w:rPr>
      </w:pPr>
      <w:r>
        <w:rPr>
          <w:rFonts w:ascii="Calibri" w:hAnsi="Calibri" w:cs="Calibri"/>
          <w:color w:val="000000" w:themeColor="text1"/>
          <w:sz w:val="22"/>
          <w:szCs w:val="22"/>
        </w:rPr>
        <w:t xml:space="preserve">#Palmer </w:t>
      </w:r>
      <w:r w:rsidR="00246997">
        <w:rPr>
          <w:rFonts w:ascii="Calibri" w:hAnsi="Calibri" w:cs="Calibri"/>
          <w:color w:val="000000" w:themeColor="text1"/>
          <w:sz w:val="22"/>
          <w:szCs w:val="22"/>
        </w:rPr>
        <w:t xml:space="preserve"> </w:t>
      </w:r>
      <w:r>
        <w:rPr>
          <w:rFonts w:ascii="Calibri" w:hAnsi="Calibri" w:cs="Calibri"/>
          <w:color w:val="000000" w:themeColor="text1"/>
          <w:sz w:val="22"/>
          <w:szCs w:val="22"/>
        </w:rPr>
        <w:t>#BeTrueToYourSound</w:t>
      </w:r>
      <w:r w:rsidR="002A4EA4" w:rsidRPr="008A52C9">
        <w:rPr>
          <w:rFonts w:ascii="Calibri" w:hAnsi="Calibri" w:cs="Calibri"/>
          <w:bCs/>
          <w:color w:val="0D0D0D" w:themeColor="text1" w:themeTint="F2"/>
          <w:sz w:val="22"/>
          <w:szCs w:val="22"/>
          <w:lang w:eastAsia="fr-FR" w:bidi="hi-IN"/>
        </w:rPr>
        <w:t xml:space="preserve"> </w:t>
      </w:r>
      <w:r w:rsidR="00246997">
        <w:rPr>
          <w:rFonts w:ascii="Calibri" w:hAnsi="Calibri" w:cs="Calibri"/>
          <w:bCs/>
          <w:color w:val="0D0D0D" w:themeColor="text1" w:themeTint="F2"/>
          <w:sz w:val="22"/>
          <w:szCs w:val="22"/>
          <w:lang w:eastAsia="fr-FR" w:bidi="hi-IN"/>
        </w:rPr>
        <w:t xml:space="preserve"> </w:t>
      </w:r>
      <w:r w:rsidR="00246997" w:rsidRPr="008A52C9">
        <w:rPr>
          <w:rFonts w:ascii="Calibri" w:hAnsi="Calibri" w:cs="Calibri"/>
          <w:color w:val="000000" w:themeColor="text1"/>
          <w:sz w:val="22"/>
          <w:szCs w:val="22"/>
        </w:rPr>
        <w:t xml:space="preserve">#AdamHallGroup </w:t>
      </w:r>
      <w:r w:rsidR="00246997">
        <w:rPr>
          <w:rFonts w:ascii="Calibri" w:hAnsi="Calibri" w:cs="Calibri"/>
          <w:color w:val="000000" w:themeColor="text1"/>
          <w:sz w:val="22"/>
          <w:szCs w:val="22"/>
        </w:rPr>
        <w:t xml:space="preserve"> </w:t>
      </w:r>
      <w:r w:rsidR="006D2E7A" w:rsidRPr="008A52C9">
        <w:rPr>
          <w:rFonts w:ascii="Calibri" w:hAnsi="Calibri" w:cs="Calibri"/>
          <w:color w:val="0D0D0D" w:themeColor="text1" w:themeTint="F2"/>
          <w:sz w:val="22"/>
          <w:szCs w:val="22"/>
        </w:rPr>
        <w:t>#</w:t>
      </w:r>
      <w:r w:rsidR="00140348">
        <w:rPr>
          <w:rFonts w:ascii="Calibri" w:hAnsi="Calibri" w:cs="Calibri"/>
          <w:color w:val="0D0D0D" w:themeColor="text1" w:themeTint="F2"/>
          <w:sz w:val="22"/>
          <w:szCs w:val="22"/>
        </w:rPr>
        <w:t>EngineeringFascination</w:t>
      </w:r>
    </w:p>
    <w:p w14:paraId="1DAC6DB1" w14:textId="77777777" w:rsidR="00E0724D" w:rsidRPr="0010551F" w:rsidRDefault="00E0724D" w:rsidP="000C4ECE">
      <w:pPr>
        <w:pStyle w:val="KeinLeerraum"/>
        <w:rPr>
          <w:rFonts w:ascii="Calibri" w:hAnsi="Calibri" w:cs="Calibri"/>
          <w:color w:val="0D0D0D" w:themeColor="text1" w:themeTint="F2"/>
          <w:sz w:val="22"/>
          <w:szCs w:val="22"/>
        </w:rPr>
      </w:pPr>
    </w:p>
    <w:p w14:paraId="6E7E6E5D" w14:textId="417E4D31" w:rsidR="004818CF" w:rsidRPr="00246997" w:rsidRDefault="006D2E7A" w:rsidP="000C4ECE">
      <w:pPr>
        <w:rPr>
          <w:rStyle w:val="Hyperlink"/>
          <w:rFonts w:ascii="Calibri" w:hAnsi="Calibri" w:cs="Calibri"/>
          <w:b/>
          <w:color w:val="auto"/>
          <w:sz w:val="22"/>
          <w:szCs w:val="22"/>
          <w:u w:val="none"/>
        </w:rPr>
      </w:pPr>
      <w:r w:rsidRPr="0010551F">
        <w:rPr>
          <w:rFonts w:ascii="Calibri" w:hAnsi="Calibri" w:cs="Calibri"/>
          <w:b/>
          <w:sz w:val="22"/>
          <w:szCs w:val="22"/>
        </w:rPr>
        <w:t xml:space="preserve">Weitere Informationen: </w:t>
      </w:r>
    </w:p>
    <w:p w14:paraId="55862C23" w14:textId="76EB71EB" w:rsidR="00035C36" w:rsidRPr="00246997" w:rsidRDefault="00246997" w:rsidP="000C4ECE">
      <w:pPr>
        <w:rPr>
          <w:rStyle w:val="Hyperlink"/>
          <w:rFonts w:ascii="Calibri" w:hAnsi="Calibri" w:cs="Calibri"/>
          <w:sz w:val="22"/>
          <w:szCs w:val="22"/>
        </w:rPr>
      </w:pPr>
      <w:hyperlink r:id="rId7" w:history="1">
        <w:r w:rsidRPr="00246997">
          <w:rPr>
            <w:rStyle w:val="Hyperlink"/>
            <w:rFonts w:ascii="Calibri" w:hAnsi="Calibri" w:cs="Calibri"/>
            <w:sz w:val="22"/>
            <w:szCs w:val="22"/>
          </w:rPr>
          <w:t>palmer-germany.com</w:t>
        </w:r>
      </w:hyperlink>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8" w:history="1">
        <w:r w:rsidRPr="00246997">
          <w:rPr>
            <w:rStyle w:val="Hyperlink"/>
            <w:rFonts w:ascii="Calibri" w:hAnsi="Calibri" w:cs="Calibri"/>
            <w:sz w:val="22"/>
            <w:szCs w:val="22"/>
          </w:rPr>
          <w:t>adamhall.com</w:t>
        </w:r>
      </w:hyperlink>
      <w:r w:rsidRPr="0010551F">
        <w:rPr>
          <w:rFonts w:ascii="Calibri" w:hAnsi="Calibri" w:cs="Calibri"/>
          <w:sz w:val="22"/>
          <w:szCs w:val="22"/>
          <w:u w:val="single"/>
        </w:rPr>
        <w:br/>
      </w:r>
    </w:p>
    <w:p w14:paraId="3FCDB1A3" w14:textId="77777777" w:rsidR="00035C36" w:rsidRPr="0010551F" w:rsidRDefault="00035C36" w:rsidP="00035C36">
      <w:pPr>
        <w:pStyle w:val="KeinLeerraum"/>
        <w:rPr>
          <w:rFonts w:ascii="Calibri" w:hAnsi="Calibri"/>
          <w:b/>
          <w:color w:val="808080"/>
          <w:sz w:val="18"/>
        </w:rPr>
      </w:pPr>
      <w:r w:rsidRPr="0010551F">
        <w:rPr>
          <w:rFonts w:ascii="Calibri" w:hAnsi="Calibri"/>
          <w:b/>
          <w:color w:val="808080"/>
          <w:sz w:val="18"/>
        </w:rPr>
        <w:t>Über die Adam Hall Group</w:t>
      </w:r>
    </w:p>
    <w:p w14:paraId="17D8C541" w14:textId="0DEDF50E" w:rsidR="002D3FAB" w:rsidRPr="0010551F" w:rsidRDefault="00035C36" w:rsidP="00035C36">
      <w:pPr>
        <w:pStyle w:val="KeinLeerraum"/>
        <w:rPr>
          <w:rFonts w:ascii="Calibri" w:hAnsi="Calibri"/>
          <w:color w:val="808080"/>
          <w:sz w:val="18"/>
        </w:rPr>
      </w:pPr>
      <w:r w:rsidRPr="0010551F">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10551F">
        <w:rPr>
          <w:rFonts w:ascii="Calibri" w:hAnsi="Calibri"/>
          <w:b/>
          <w:color w:val="808080"/>
          <w:sz w:val="18"/>
        </w:rPr>
        <w:t xml:space="preserve"> LD Systems®, Cameo®, Gravity®, Defender®, Palmer® und Adam Hall®</w:t>
      </w:r>
      <w:r w:rsidRPr="0010551F">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mit dem begehrten German Design Award geehrt. Weitere Informationen über die Adam Hall Group finden Sie online auf </w:t>
      </w:r>
    </w:p>
    <w:p w14:paraId="11CC66ED" w14:textId="220C9233" w:rsidR="000C2D39" w:rsidRPr="0010551F" w:rsidRDefault="002D3FAB" w:rsidP="00035C36">
      <w:pPr>
        <w:pStyle w:val="KeinLeerraum"/>
        <w:rPr>
          <w:rFonts w:ascii="Arial" w:hAnsi="Arial"/>
          <w:sz w:val="20"/>
        </w:rPr>
      </w:pPr>
      <w:hyperlink r:id="rId9" w:history="1">
        <w:r w:rsidRPr="0010551F">
          <w:rPr>
            <w:rStyle w:val="Hyperlink"/>
            <w:rFonts w:ascii="Calibri" w:hAnsi="Calibri"/>
            <w:sz w:val="18"/>
          </w:rPr>
          <w:t>www.adamhall.com</w:t>
        </w:r>
      </w:hyperlink>
    </w:p>
    <w:sectPr w:rsidR="000C2D39" w:rsidRPr="0010551F" w:rsidSect="0046543C">
      <w:headerReference w:type="default" r:id="rId10"/>
      <w:footerReference w:type="default" r:id="rId11"/>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2E40" w14:textId="77777777" w:rsidR="00745D55" w:rsidRDefault="00745D55" w:rsidP="004330C6">
      <w:r>
        <w:separator/>
      </w:r>
    </w:p>
  </w:endnote>
  <w:endnote w:type="continuationSeparator" w:id="0">
    <w:p w14:paraId="6E85A76F" w14:textId="77777777" w:rsidR="00745D55" w:rsidRDefault="00745D55" w:rsidP="004330C6">
      <w:r>
        <w:continuationSeparator/>
      </w:r>
    </w:p>
  </w:endnote>
  <w:endnote w:type="continuationNotice" w:id="1">
    <w:p w14:paraId="6679CDCE" w14:textId="77777777" w:rsidR="00745D55" w:rsidRDefault="00745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745D55">
    <w:pPr>
      <w:pStyle w:val="Fuzeile"/>
    </w:pPr>
    <w:r>
      <w:rPr>
        <w:noProof/>
        <w:lang w:val="en-US" w:eastAsia="en-US" w:bidi="ar-SA"/>
      </w:rPr>
      <w:pict w14:anchorId="3DEE7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2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EAA4A" w14:textId="77777777" w:rsidR="00745D55" w:rsidRDefault="00745D55" w:rsidP="004330C6">
      <w:r>
        <w:separator/>
      </w:r>
    </w:p>
  </w:footnote>
  <w:footnote w:type="continuationSeparator" w:id="0">
    <w:p w14:paraId="64E1CBA9" w14:textId="77777777" w:rsidR="00745D55" w:rsidRDefault="00745D55" w:rsidP="004330C6">
      <w:r>
        <w:continuationSeparator/>
      </w:r>
    </w:p>
  </w:footnote>
  <w:footnote w:type="continuationNotice" w:id="1">
    <w:p w14:paraId="001727FB" w14:textId="77777777" w:rsidR="00745D55" w:rsidRDefault="00745D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49D6"/>
    <w:rsid w:val="000064B6"/>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0653"/>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204A"/>
    <w:rsid w:val="000927A5"/>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3771"/>
    <w:rsid w:val="0019496E"/>
    <w:rsid w:val="00197BE9"/>
    <w:rsid w:val="001A1584"/>
    <w:rsid w:val="001B000E"/>
    <w:rsid w:val="001B0461"/>
    <w:rsid w:val="001B40F4"/>
    <w:rsid w:val="001B7E2C"/>
    <w:rsid w:val="001C5825"/>
    <w:rsid w:val="001C5D7F"/>
    <w:rsid w:val="001D3566"/>
    <w:rsid w:val="001D6F99"/>
    <w:rsid w:val="001E51CC"/>
    <w:rsid w:val="001E5871"/>
    <w:rsid w:val="001E78C5"/>
    <w:rsid w:val="001F0E84"/>
    <w:rsid w:val="001F6832"/>
    <w:rsid w:val="00201F6D"/>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6997"/>
    <w:rsid w:val="0024709A"/>
    <w:rsid w:val="00247B14"/>
    <w:rsid w:val="00247EDB"/>
    <w:rsid w:val="00250DB1"/>
    <w:rsid w:val="00253E5A"/>
    <w:rsid w:val="00254E4B"/>
    <w:rsid w:val="00262160"/>
    <w:rsid w:val="0026474A"/>
    <w:rsid w:val="00272775"/>
    <w:rsid w:val="0027394B"/>
    <w:rsid w:val="00273B57"/>
    <w:rsid w:val="00283958"/>
    <w:rsid w:val="00285810"/>
    <w:rsid w:val="00287F76"/>
    <w:rsid w:val="002956B9"/>
    <w:rsid w:val="00296C60"/>
    <w:rsid w:val="002A4EA4"/>
    <w:rsid w:val="002A71BC"/>
    <w:rsid w:val="002B2157"/>
    <w:rsid w:val="002B49DF"/>
    <w:rsid w:val="002B4A3E"/>
    <w:rsid w:val="002B520A"/>
    <w:rsid w:val="002C32D6"/>
    <w:rsid w:val="002C6491"/>
    <w:rsid w:val="002D1F46"/>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107F"/>
    <w:rsid w:val="00546AE6"/>
    <w:rsid w:val="005513C5"/>
    <w:rsid w:val="0055240C"/>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5A1"/>
    <w:rsid w:val="005E4396"/>
    <w:rsid w:val="005E70A1"/>
    <w:rsid w:val="005E73CE"/>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5AA1"/>
    <w:rsid w:val="00650A14"/>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7A48"/>
    <w:rsid w:val="007009A4"/>
    <w:rsid w:val="00700CFB"/>
    <w:rsid w:val="007011BB"/>
    <w:rsid w:val="007100BD"/>
    <w:rsid w:val="00711C33"/>
    <w:rsid w:val="007153F5"/>
    <w:rsid w:val="00715B0F"/>
    <w:rsid w:val="00721C7D"/>
    <w:rsid w:val="0072231E"/>
    <w:rsid w:val="00723BDD"/>
    <w:rsid w:val="00734C80"/>
    <w:rsid w:val="00735620"/>
    <w:rsid w:val="00740110"/>
    <w:rsid w:val="00744A0F"/>
    <w:rsid w:val="00745291"/>
    <w:rsid w:val="00745D55"/>
    <w:rsid w:val="00757763"/>
    <w:rsid w:val="0076459A"/>
    <w:rsid w:val="00766BBA"/>
    <w:rsid w:val="0076753B"/>
    <w:rsid w:val="00771066"/>
    <w:rsid w:val="007733F5"/>
    <w:rsid w:val="0077345C"/>
    <w:rsid w:val="00775BF5"/>
    <w:rsid w:val="00780A4D"/>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0946"/>
    <w:rsid w:val="0081225F"/>
    <w:rsid w:val="00814331"/>
    <w:rsid w:val="008209B3"/>
    <w:rsid w:val="00821AA6"/>
    <w:rsid w:val="00822425"/>
    <w:rsid w:val="00825948"/>
    <w:rsid w:val="00827FBE"/>
    <w:rsid w:val="00840293"/>
    <w:rsid w:val="008474CD"/>
    <w:rsid w:val="00847D7A"/>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B7BC8"/>
    <w:rsid w:val="008C0CCB"/>
    <w:rsid w:val="008C5A92"/>
    <w:rsid w:val="008D215E"/>
    <w:rsid w:val="008D22AA"/>
    <w:rsid w:val="008D5D01"/>
    <w:rsid w:val="008E0434"/>
    <w:rsid w:val="008E12E9"/>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48D"/>
    <w:rsid w:val="00955333"/>
    <w:rsid w:val="00956C5F"/>
    <w:rsid w:val="009643EB"/>
    <w:rsid w:val="0097368B"/>
    <w:rsid w:val="009778CC"/>
    <w:rsid w:val="00990575"/>
    <w:rsid w:val="009916A1"/>
    <w:rsid w:val="009A0DFE"/>
    <w:rsid w:val="009A4FF8"/>
    <w:rsid w:val="009A514D"/>
    <w:rsid w:val="009A5538"/>
    <w:rsid w:val="009B1FC9"/>
    <w:rsid w:val="009B4578"/>
    <w:rsid w:val="009B56F9"/>
    <w:rsid w:val="009C07D5"/>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5BE3"/>
    <w:rsid w:val="00B25C44"/>
    <w:rsid w:val="00B315EE"/>
    <w:rsid w:val="00B3290E"/>
    <w:rsid w:val="00B33379"/>
    <w:rsid w:val="00B40063"/>
    <w:rsid w:val="00B42DDB"/>
    <w:rsid w:val="00B43B48"/>
    <w:rsid w:val="00B44838"/>
    <w:rsid w:val="00B44D8F"/>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2BEE"/>
    <w:rsid w:val="00C753F7"/>
    <w:rsid w:val="00C75511"/>
    <w:rsid w:val="00C76402"/>
    <w:rsid w:val="00C77231"/>
    <w:rsid w:val="00C81029"/>
    <w:rsid w:val="00C81614"/>
    <w:rsid w:val="00C85C87"/>
    <w:rsid w:val="00C86618"/>
    <w:rsid w:val="00C87824"/>
    <w:rsid w:val="00C91653"/>
    <w:rsid w:val="00CA04B3"/>
    <w:rsid w:val="00CB35BC"/>
    <w:rsid w:val="00CB3D36"/>
    <w:rsid w:val="00CB3E46"/>
    <w:rsid w:val="00CB4AC6"/>
    <w:rsid w:val="00CB5540"/>
    <w:rsid w:val="00CC4FA9"/>
    <w:rsid w:val="00CD1F0F"/>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3629"/>
    <w:rsid w:val="00E24D88"/>
    <w:rsid w:val="00E26542"/>
    <w:rsid w:val="00E269A9"/>
    <w:rsid w:val="00E26CE9"/>
    <w:rsid w:val="00E272FA"/>
    <w:rsid w:val="00E40A90"/>
    <w:rsid w:val="00E40CC8"/>
    <w:rsid w:val="00E44881"/>
    <w:rsid w:val="00E4607C"/>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D5787"/>
    <w:rsid w:val="00EE0F8A"/>
    <w:rsid w:val="00EE15F3"/>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1957"/>
    <w:rsid w:val="00FC2346"/>
    <w:rsid w:val="00FC505E"/>
    <w:rsid w:val="00FC51BC"/>
    <w:rsid w:val="00FC64FB"/>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palmer-germany.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588</Words>
  <Characters>3710</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36</cp:revision>
  <cp:lastPrinted>2019-01-10T17:28:00Z</cp:lastPrinted>
  <dcterms:created xsi:type="dcterms:W3CDTF">2024-08-09T08:25:00Z</dcterms:created>
  <dcterms:modified xsi:type="dcterms:W3CDTF">2026-01-28T17:56:00Z</dcterms:modified>
</cp:coreProperties>
</file>