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0551F" w:rsidR="004330C6" w:rsidP="003817D3" w:rsidRDefault="004330C6" w14:paraId="63A3992D" w14:textId="770CF29B">
      <w:pPr>
        <w:rPr>
          <w:rFonts w:ascii="Arial" w:hAnsi="Arial"/>
          <w:b/>
          <w:color w:val="000000" w:themeColor="text1"/>
          <w:sz w:val="28"/>
          <w:bdr w:val="none" w:color="auto" w:sz="0" w:space="0" w:frame="1"/>
        </w:rPr>
      </w:pPr>
      <w:r w:rsidRPr="0010551F">
        <w:rPr>
          <w:rFonts w:ascii="Calibri" w:hAnsi="Calibri"/>
          <w:sz w:val="52"/>
        </w:rPr>
        <w:t xml:space="preserve">Press release</w:t>
      </w:r>
    </w:p>
    <w:p w:rsidRPr="0010551F" w:rsidR="004330C6" w:rsidP="003817D3" w:rsidRDefault="004330C6" w14:paraId="16383BF3" w14:textId="77777777">
      <w:pPr>
        <w:rPr>
          <w:rFonts w:ascii="Arial" w:hAnsi="Arial"/>
          <w:b/>
          <w:color w:val="000000" w:themeColor="text1"/>
          <w:sz w:val="28"/>
          <w:bdr w:val="none" w:color="auto" w:sz="0" w:space="0" w:frame="1"/>
        </w:rPr>
      </w:pPr>
    </w:p>
    <w:p w:rsidRPr="0010551F" w:rsidR="004330C6" w:rsidP="003817D3" w:rsidRDefault="004330C6" w14:paraId="0660A2A3" w14:textId="77777777">
      <w:pPr>
        <w:rPr>
          <w:rFonts w:ascii="Arial" w:hAnsi="Arial"/>
          <w:b/>
          <w:color w:val="000000" w:themeColor="text1"/>
          <w:sz w:val="28"/>
          <w:bdr w:val="none" w:color="auto" w:sz="0" w:space="0" w:frame="1"/>
        </w:rPr>
      </w:pPr>
    </w:p>
    <w:p w:rsidR="008A52C9" w:rsidP="008A52C9" w:rsidRDefault="000049D6" w14:paraId="078C0A85" w14:textId="1A6DA98C">
      <w:pPr>
        <w:shd w:val="clear" w:color="auto" w:fill="FFFFFF"/>
        <w:rPr>
          <w:rFonts w:ascii="Calibri" w:hAnsi="Calibri" w:cs="Calibri"/>
          <w:b/>
          <w:color w:val="000000" w:themeColor="text1"/>
          <w:sz w:val="44"/>
          <w:szCs w:val="44"/>
        </w:rPr>
      </w:pPr>
      <w:r w:rsidRPr="000049D6">
        <w:rPr>
          <w:rFonts w:ascii="Calibri" w:hAnsi="Calibri" w:cs="Calibri"/>
          <w:b/>
          <w:color w:val="000000" w:themeColor="text1"/>
          <w:sz w:val="44"/>
          <w:szCs w:val="44"/>
        </w:rPr>
        <w:t xml:space="preserve">Palmer presents ORBIT 11 – coaxial 3-way studio monitor with true point source</w:t>
      </w:r>
    </w:p>
    <w:p w:rsidRPr="008A52C9" w:rsidR="000049D6" w:rsidP="008A52C9" w:rsidRDefault="000049D6" w14:paraId="7EB7F480" w14:textId="77777777">
      <w:pPr>
        <w:shd w:val="clear" w:color="auto" w:fill="FFFFFF"/>
        <w:rPr>
          <w:rFonts w:ascii="Calibri" w:hAnsi="Calibri" w:cs="Calibri"/>
          <w:color w:val="000000" w:themeColor="text1"/>
          <w:sz w:val="44"/>
          <w:szCs w:val="44"/>
        </w:rPr>
      </w:pPr>
    </w:p>
    <w:p w:rsidRPr="000049D6" w:rsidR="000049D6" w:rsidP="000049D6" w:rsidRDefault="008A52C9" w14:paraId="7FE218FC" w14:textId="31303FFF">
      <w:pPr>
        <w:shd w:val="clear" w:color="auto" w:fill="FFFFFF"/>
        <w:rPr>
          <w:rFonts w:ascii="Calibri" w:hAnsi="Calibri" w:cs="Calibri"/>
          <w:b/>
          <w:color w:val="0D0D0D" w:themeColor="text1" w:themeTint="F2"/>
          <w:sz w:val="22"/>
          <w:szCs w:val="22"/>
          <w:bdr w:val="none" w:color="auto" w:sz="0" w:space="0" w:frame="1"/>
        </w:rPr>
      </w:pPr>
      <w:r w:rsidRPr="008A52C9">
        <w:rPr>
          <w:rFonts w:ascii="Calibri" w:hAnsi="Calibri" w:cs="Calibri"/>
          <w:b/>
          <w:color w:val="0D0D0D" w:themeColor="text1" w:themeTint="F2"/>
          <w:sz w:val="22"/>
          <w:szCs w:val="22"/>
          <w:bdr w:val="none" w:color="auto" w:sz="0" w:space="0" w:frame="1"/>
        </w:rPr>
        <w:t xml:space="preserve">Neu-Anspach –</w:t>
      </w:r>
      <w:r w:rsidRPr="008A52C9">
        <w:rPr>
          <w:rFonts w:ascii="Calibri" w:hAnsi="Calibri" w:cs="Calibri"/>
          <w:b/>
          <w:color w:val="000000" w:themeColor="text1"/>
          <w:sz w:val="22"/>
          <w:szCs w:val="22"/>
          <w:bdr w:val="none" w:color="auto" w:sz="0" w:space="0" w:frame="1"/>
        </w:rPr>
        <w:t xml:space="preserve"> 10 </w:t>
      </w:r>
      <w:r w:rsidR="000049D6">
        <w:rPr>
          <w:rFonts w:ascii="Calibri" w:hAnsi="Calibri" w:cs="Calibri"/>
          <w:b/>
          <w:color w:val="000000" w:themeColor="text1"/>
          <w:sz w:val="22"/>
          <w:szCs w:val="22"/>
          <w:bdr w:val="none" w:color="auto" w:sz="0" w:space="0" w:frame="1"/>
        </w:rPr>
        <w:t xml:space="preserve">February</w:t>
      </w:r>
      <w:r w:rsidR="000049D6">
        <w:rPr>
          <w:rFonts w:ascii="Calibri" w:hAnsi="Calibri" w:cs="Calibri"/>
          <w:b/>
          <w:color w:val="000000" w:themeColor="text1"/>
          <w:sz w:val="22"/>
          <w:szCs w:val="22"/>
          <w:bdr w:val="none" w:color="auto" w:sz="0" w:space="0" w:frame="1"/>
        </w:rPr>
        <w:t xml:space="preserve"> 2026 </w:t>
      </w:r>
      <w:r w:rsidRPr="008A52C9">
        <w:rPr>
          <w:rFonts w:ascii="Calibri" w:hAnsi="Calibri" w:cs="Calibri"/>
          <w:b/>
          <w:color w:val="0D0D0D" w:themeColor="text1" w:themeTint="F2"/>
          <w:sz w:val="22"/>
          <w:szCs w:val="22"/>
          <w:bdr w:val="none" w:color="auto" w:sz="0" w:space="0" w:frame="1"/>
        </w:rPr>
        <w:t xml:space="preserve">– </w:t>
      </w:r>
      <w:r w:rsidRPr="000049D6" w:rsidR="000049D6">
        <w:rPr>
          <w:rFonts w:ascii="Calibri" w:hAnsi="Calibri" w:cs="Calibri"/>
          <w:b/>
          <w:color w:val="0D0D0D" w:themeColor="text1" w:themeTint="F2"/>
          <w:sz w:val="22"/>
          <w:szCs w:val="22"/>
          <w:bdr w:val="none" w:color="auto" w:sz="0" w:space="0" w:frame="1"/>
        </w:rPr>
        <w:t xml:space="preserve">With the ORBIT 11, Palmer introduces a high-quality, active 3-way studio monitor </w:t>
      </w:r>
      <w:r w:rsidRPr="000049D6" w:rsidR="000049D6">
        <w:rPr>
          <w:rFonts w:ascii="Calibri" w:hAnsi="Calibri" w:cs="Calibri"/>
          <w:b/>
          <w:color w:val="0D0D0D" w:themeColor="text1" w:themeTint="F2"/>
          <w:sz w:val="22"/>
          <w:szCs w:val="22"/>
          <w:bdr w:val="none" w:color="auto" w:sz="0" w:space="0" w:frame="1"/>
        </w:rPr>
        <w:t xml:space="preserve">aimed</w:t>
      </w:r>
      <w:r w:rsidRPr="000049D6" w:rsidR="000049D6">
        <w:rPr>
          <w:rFonts w:ascii="Calibri" w:hAnsi="Calibri" w:cs="Calibri"/>
          <w:b/>
          <w:color w:val="0D0D0D" w:themeColor="text1" w:themeTint="F2"/>
          <w:sz w:val="22"/>
          <w:szCs w:val="22"/>
          <w:bdr w:val="none" w:color="auto" w:sz="0" w:space="0" w:frame="1"/>
        </w:rPr>
        <w:t xml:space="preserve"> at professional recording studios, project studios </w:t>
      </w:r>
      <w:r w:rsidR="00FC64FB">
        <w:rPr>
          <w:rFonts w:ascii="Calibri" w:hAnsi="Calibri" w:cs="Calibri"/>
          <w:b/>
          <w:color w:val="0D0D0D" w:themeColor="text1" w:themeTint="F2"/>
          <w:sz w:val="22"/>
          <w:szCs w:val="22"/>
          <w:bdr w:val="none" w:color="auto" w:sz="0" w:space="0" w:frame="1"/>
        </w:rPr>
        <w:t xml:space="preserve">and </w:t>
      </w:r>
      <w:r w:rsidRPr="000049D6" w:rsidR="00FC64FB">
        <w:rPr>
          <w:rFonts w:ascii="Calibri" w:hAnsi="Calibri" w:cs="Calibri"/>
          <w:b/>
          <w:color w:val="0D0D0D" w:themeColor="text1" w:themeTint="F2"/>
          <w:sz w:val="22"/>
          <w:szCs w:val="22"/>
          <w:bdr w:val="none" w:color="auto" w:sz="0" w:space="0" w:frame="1"/>
        </w:rPr>
        <w:t xml:space="preserve">ambitious </w:t>
      </w:r>
      <w:r w:rsidRPr="000049D6" w:rsidR="000049D6">
        <w:rPr>
          <w:rFonts w:ascii="Calibri" w:hAnsi="Calibri" w:cs="Calibri"/>
          <w:b/>
          <w:color w:val="0D0D0D" w:themeColor="text1" w:themeTint="F2"/>
          <w:sz w:val="22"/>
          <w:szCs w:val="22"/>
          <w:bdr w:val="none" w:color="auto" w:sz="0" w:space="0" w:frame="1"/>
        </w:rPr>
        <w:t xml:space="preserve">home recording users. The ORBIT 11 combines an innovative coaxial point source design with high power reserve, linear phase response and extensive customisation options for precise work in modern production environments.</w:t>
      </w:r>
    </w:p>
    <w:p w:rsidRPr="000049D6" w:rsidR="000049D6" w:rsidP="000049D6" w:rsidRDefault="000049D6" w14:paraId="1FE5736F" w14:textId="77777777">
      <w:pPr>
        <w:shd w:val="clear" w:color="auto" w:fill="FFFFFF"/>
        <w:rPr>
          <w:rFonts w:ascii="Calibri" w:hAnsi="Calibri" w:cs="Calibri"/>
          <w:b/>
          <w:color w:val="0D0D0D" w:themeColor="text1" w:themeTint="F2"/>
          <w:sz w:val="22"/>
          <w:szCs w:val="22"/>
          <w:bdr w:val="none" w:color="auto" w:sz="0" w:space="0" w:frame="1"/>
        </w:rPr>
      </w:pPr>
    </w:p>
    <w:p w:rsidRPr="000049D6" w:rsidR="000049D6" w:rsidP="000049D6" w:rsidRDefault="000049D6" w14:paraId="408A34C7" w14:textId="5017197E">
      <w:pPr>
        <w:shd w:val="clear" w:color="auto" w:fill="FFFFFF"/>
        <w:rPr>
          <w:rFonts w:ascii="Calibri" w:hAnsi="Calibri" w:cs="Calibri"/>
          <w:bCs/>
          <w:color w:val="0D0D0D" w:themeColor="text1" w:themeTint="F2"/>
          <w:sz w:val="22"/>
          <w:szCs w:val="22"/>
          <w:bdr w:val="none" w:color="auto" w:sz="0" w:space="0" w:frame="1"/>
        </w:rPr>
      </w:pPr>
      <w:r w:rsidRPr="000049D6">
        <w:rPr>
          <w:rFonts w:ascii="Calibri" w:hAnsi="Calibri" w:cs="Calibri"/>
          <w:bCs/>
          <w:color w:val="0D0D0D" w:themeColor="text1" w:themeTint="F2"/>
          <w:sz w:val="22"/>
          <w:szCs w:val="22"/>
          <w:bdr w:val="none" w:color="auto" w:sz="0" w:space="0" w:frame="1"/>
        </w:rPr>
        <w:t xml:space="preserve">At the heart of the ORBIT 11 is a coaxially constructed 3-way system with a 6.5-inch midrange driver and integrated 1-inch tweeter, complemented by two side-mounted 8-inch woofers. This design </w:t>
      </w:r>
      <w:r w:rsidR="00193771">
        <w:rPr>
          <w:rFonts w:ascii="Calibri" w:hAnsi="Calibri" w:cs="Calibri"/>
          <w:bCs/>
          <w:color w:val="0D0D0D" w:themeColor="text1" w:themeTint="F2"/>
          <w:sz w:val="22"/>
          <w:szCs w:val="22"/>
          <w:bdr w:val="none" w:color="auto" w:sz="0" w:space="0" w:frame="1"/>
        </w:rPr>
        <w:t xml:space="preserve">enables </w:t>
      </w:r>
      <w:r w:rsidRPr="000049D6">
        <w:rPr>
          <w:rFonts w:ascii="Calibri" w:hAnsi="Calibri" w:cs="Calibri"/>
          <w:bCs/>
          <w:color w:val="0D0D0D" w:themeColor="text1" w:themeTint="F2"/>
          <w:sz w:val="22"/>
          <w:szCs w:val="22"/>
          <w:bdr w:val="none" w:color="auto" w:sz="0" w:space="0" w:frame="1"/>
        </w:rPr>
        <w:t xml:space="preserve">homogeneous dispersion, high localisation accuracy </w:t>
      </w:r>
      <w:r w:rsidR="00193771">
        <w:rPr>
          <w:rFonts w:ascii="Calibri" w:hAnsi="Calibri" w:cs="Calibri"/>
          <w:bCs/>
          <w:color w:val="0D0D0D" w:themeColor="text1" w:themeTint="F2"/>
          <w:sz w:val="22"/>
          <w:szCs w:val="22"/>
          <w:bdr w:val="none" w:color="auto" w:sz="0" w:space="0" w:frame="1"/>
        </w:rPr>
        <w:t xml:space="preserve">and </w:t>
      </w:r>
      <w:r w:rsidRPr="000049D6">
        <w:rPr>
          <w:rFonts w:ascii="Calibri" w:hAnsi="Calibri" w:cs="Calibri"/>
          <w:bCs/>
          <w:color w:val="0D0D0D" w:themeColor="text1" w:themeTint="F2"/>
          <w:sz w:val="22"/>
          <w:szCs w:val="22"/>
          <w:bdr w:val="none" w:color="auto" w:sz="0" w:space="0" w:frame="1"/>
        </w:rPr>
        <w:t xml:space="preserve">stable stereo imaging across the entire frequency range. With a frequency response of 28 Hz to 28 kHz (</w:t>
      </w:r>
      <w:r w:rsidRPr="000049D6">
        <w:rPr>
          <w:rFonts w:ascii="Calibri" w:hAnsi="Calibri" w:cs="Calibri"/>
          <w:bCs/>
          <w:color w:val="0D0D0D" w:themeColor="text1" w:themeTint="F2"/>
          <w:sz w:val="22"/>
          <w:szCs w:val="22"/>
          <w:bdr w:val="none" w:color="auto" w:sz="0" w:space="0" w:frame="1"/>
        </w:rPr>
        <w:t xml:space="preserve">-3 dB)</w:t>
      </w:r>
      <w:r w:rsidR="005E73CE">
        <w:rPr>
          <w:rFonts w:ascii="Calibri" w:hAnsi="Calibri" w:cs="Calibri"/>
          <w:bCs/>
          <w:color w:val="0D0D0D" w:themeColor="text1" w:themeTint="F2"/>
          <w:sz w:val="22"/>
          <w:szCs w:val="22"/>
          <w:bdr w:val="none" w:color="auto" w:sz="0" w:space="0" w:frame="1"/>
        </w:rPr>
        <w:t xml:space="preserve">,</w:t>
      </w:r>
      <w:r w:rsidRPr="000049D6">
        <w:rPr>
          <w:rFonts w:ascii="Calibri" w:hAnsi="Calibri" w:cs="Calibri"/>
          <w:bCs/>
          <w:color w:val="0D0D0D" w:themeColor="text1" w:themeTint="F2"/>
          <w:sz w:val="22"/>
          <w:szCs w:val="22"/>
          <w:bdr w:val="none" w:color="auto" w:sz="0" w:space="0" w:frame="1"/>
        </w:rPr>
        <w:t xml:space="preserve"> the ORBIT 11 delivers full-range reproduction </w:t>
      </w:r>
      <w:r w:rsidRPr="000049D6">
        <w:rPr>
          <w:rFonts w:ascii="Calibri" w:hAnsi="Calibri" w:cs="Calibri"/>
          <w:bCs/>
          <w:color w:val="0D0D0D" w:themeColor="text1" w:themeTint="F2"/>
          <w:sz w:val="22"/>
          <w:szCs w:val="22"/>
          <w:bdr w:val="none" w:color="auto" w:sz="0" w:space="0" w:frame="1"/>
        </w:rPr>
        <w:t xml:space="preserve">without </w:t>
      </w:r>
      <w:r w:rsidR="005E73CE">
        <w:rPr>
          <w:rFonts w:ascii="Calibri" w:hAnsi="Calibri" w:cs="Calibri"/>
          <w:bCs/>
          <w:color w:val="0D0D0D" w:themeColor="text1" w:themeTint="F2"/>
          <w:sz w:val="22"/>
          <w:szCs w:val="22"/>
          <w:bdr w:val="none" w:color="auto" w:sz="0" w:space="0" w:frame="1"/>
        </w:rPr>
        <w:t xml:space="preserve">the need </w:t>
      </w:r>
      <w:r w:rsidR="005E73CE">
        <w:rPr>
          <w:rFonts w:ascii="Calibri" w:hAnsi="Calibri" w:cs="Calibri"/>
          <w:bCs/>
          <w:color w:val="0D0D0D" w:themeColor="text1" w:themeTint="F2"/>
          <w:sz w:val="22"/>
          <w:szCs w:val="22"/>
          <w:bdr w:val="none" w:color="auto" w:sz="0" w:space="0" w:frame="1"/>
        </w:rPr>
        <w:t xml:space="preserve">for an </w:t>
      </w:r>
      <w:r w:rsidRPr="000049D6">
        <w:rPr>
          <w:rFonts w:ascii="Calibri" w:hAnsi="Calibri" w:cs="Calibri"/>
          <w:bCs/>
          <w:color w:val="0D0D0D" w:themeColor="text1" w:themeTint="F2"/>
          <w:sz w:val="22"/>
          <w:szCs w:val="22"/>
          <w:bdr w:val="none" w:color="auto" w:sz="0" w:space="0" w:frame="1"/>
        </w:rPr>
        <w:t xml:space="preserve">additional subwoofer</w:t>
      </w:r>
      <w:r w:rsidRPr="000049D6">
        <w:rPr>
          <w:rFonts w:ascii="Calibri" w:hAnsi="Calibri" w:cs="Calibri"/>
          <w:bCs/>
          <w:color w:val="0D0D0D" w:themeColor="text1" w:themeTint="F2"/>
          <w:sz w:val="22"/>
          <w:szCs w:val="22"/>
          <w:bdr w:val="none" w:color="auto" w:sz="0" w:space="0" w:frame="1"/>
        </w:rPr>
        <w:t xml:space="preserve">.</w:t>
      </w:r>
    </w:p>
    <w:p w:rsidRPr="000049D6" w:rsidR="000049D6" w:rsidP="000049D6" w:rsidRDefault="000049D6" w14:paraId="11178CC3" w14:textId="77777777">
      <w:pPr>
        <w:shd w:val="clear" w:color="auto" w:fill="FFFFFF"/>
        <w:rPr>
          <w:rFonts w:ascii="Calibri" w:hAnsi="Calibri" w:cs="Calibri"/>
          <w:bCs/>
          <w:color w:val="0D0D0D" w:themeColor="text1" w:themeTint="F2"/>
          <w:sz w:val="22"/>
          <w:szCs w:val="22"/>
          <w:bdr w:val="none" w:color="auto" w:sz="0" w:space="0" w:frame="1"/>
        </w:rPr>
      </w:pPr>
    </w:p>
    <w:p w:rsidRPr="000049D6" w:rsidR="000049D6" w:rsidP="000049D6" w:rsidRDefault="000049D6" w14:paraId="4F7FDFD8" w14:textId="71C2BA34">
      <w:pPr>
        <w:shd w:val="clear" w:color="auto" w:fill="FFFFFF"/>
        <w:rPr>
          <w:rFonts w:ascii="Calibri" w:hAnsi="Calibri" w:cs="Calibri"/>
          <w:bCs/>
          <w:color w:val="0D0D0D" w:themeColor="text1" w:themeTint="F2"/>
          <w:sz w:val="22"/>
          <w:szCs w:val="22"/>
          <w:bdr w:val="none" w:color="auto" w:sz="0" w:space="0" w:frame="1"/>
        </w:rPr>
      </w:pPr>
      <w:r w:rsidRPr="000049D6">
        <w:rPr>
          <w:rFonts w:ascii="Calibri" w:hAnsi="Calibri" w:cs="Calibri"/>
          <w:bCs/>
          <w:color w:val="0D0D0D" w:themeColor="text1" w:themeTint="F2"/>
          <w:sz w:val="22"/>
          <w:szCs w:val="22"/>
          <w:bdr w:val="none" w:color="auto" w:sz="0" w:space="0" w:frame="1"/>
        </w:rPr>
        <w:t xml:space="preserve">For signal processing, Palmer relies on a high-resolution FIR DSP with 96 kHz and 24 bits. The </w:t>
      </w:r>
      <w:r w:rsidR="008B7BC8">
        <w:rPr>
          <w:rFonts w:ascii="Calibri" w:hAnsi="Calibri" w:cs="Calibri"/>
          <w:bCs/>
          <w:color w:val="0D0D0D" w:themeColor="text1" w:themeTint="F2"/>
          <w:sz w:val="22"/>
          <w:szCs w:val="22"/>
          <w:bdr w:val="none" w:color="auto" w:sz="0" w:space="0" w:frame="1"/>
        </w:rPr>
        <w:t xml:space="preserve">linear-phase filters </w:t>
      </w:r>
      <w:r w:rsidRPr="000049D6">
        <w:rPr>
          <w:rFonts w:ascii="Calibri" w:hAnsi="Calibri" w:cs="Calibri"/>
          <w:bCs/>
          <w:color w:val="0D0D0D" w:themeColor="text1" w:themeTint="F2"/>
          <w:sz w:val="22"/>
          <w:szCs w:val="22"/>
          <w:bdr w:val="none" w:color="auto" w:sz="0" w:space="0" w:frame="1"/>
        </w:rPr>
        <w:t xml:space="preserve">with a latency of </w:t>
      </w:r>
      <w:r w:rsidR="008B7BC8">
        <w:rPr>
          <w:rFonts w:ascii="Calibri" w:hAnsi="Calibri" w:cs="Calibri"/>
          <w:bCs/>
          <w:color w:val="0D0D0D" w:themeColor="text1" w:themeTint="F2"/>
          <w:sz w:val="22"/>
          <w:szCs w:val="22"/>
          <w:bdr w:val="none" w:color="auto" w:sz="0" w:space="0" w:frame="1"/>
        </w:rPr>
        <w:t xml:space="preserve">only</w:t>
      </w:r>
      <w:r w:rsidRPr="000049D6">
        <w:rPr>
          <w:rFonts w:ascii="Calibri" w:hAnsi="Calibri" w:cs="Calibri"/>
          <w:bCs/>
          <w:color w:val="0D0D0D" w:themeColor="text1" w:themeTint="F2"/>
          <w:sz w:val="22"/>
          <w:szCs w:val="22"/>
          <w:bdr w:val="none" w:color="auto" w:sz="0" w:space="0" w:frame="1"/>
        </w:rPr>
        <w:t xml:space="preserve"> 4 </w:t>
      </w:r>
      <w:r w:rsidR="008B7BC8">
        <w:rPr>
          <w:rFonts w:ascii="Calibri" w:hAnsi="Calibri" w:cs="Calibri"/>
          <w:bCs/>
          <w:color w:val="0D0D0D" w:themeColor="text1" w:themeTint="F2"/>
          <w:sz w:val="22"/>
          <w:szCs w:val="22"/>
          <w:bdr w:val="none" w:color="auto" w:sz="0" w:space="0" w:frame="1"/>
        </w:rPr>
        <w:t xml:space="preserve">milliseconds </w:t>
      </w:r>
      <w:r w:rsidR="008B7BC8">
        <w:rPr>
          <w:rFonts w:ascii="Calibri" w:hAnsi="Calibri" w:cs="Calibri"/>
          <w:bCs/>
          <w:color w:val="0D0D0D" w:themeColor="text1" w:themeTint="F2"/>
          <w:sz w:val="22"/>
          <w:szCs w:val="22"/>
          <w:bdr w:val="none" w:color="auto" w:sz="0" w:space="0" w:frame="1"/>
        </w:rPr>
        <w:t xml:space="preserve">ensure </w:t>
      </w:r>
      <w:r w:rsidRPr="000049D6">
        <w:rPr>
          <w:rFonts w:ascii="Calibri" w:hAnsi="Calibri" w:cs="Calibri"/>
          <w:bCs/>
          <w:color w:val="0D0D0D" w:themeColor="text1" w:themeTint="F2"/>
          <w:sz w:val="22"/>
          <w:szCs w:val="22"/>
          <w:bdr w:val="none" w:color="auto" w:sz="0" w:space="0" w:frame="1"/>
        </w:rPr>
        <w:t xml:space="preserve">precise impulse response and unadulterated </w:t>
      </w:r>
      <w:r w:rsidR="00201F6D">
        <w:rPr>
          <w:rFonts w:ascii="Calibri" w:hAnsi="Calibri" w:cs="Calibri"/>
          <w:bCs/>
          <w:color w:val="0D0D0D" w:themeColor="text1" w:themeTint="F2"/>
          <w:sz w:val="22"/>
          <w:szCs w:val="22"/>
          <w:bdr w:val="none" w:color="auto" w:sz="0" w:space="0" w:frame="1"/>
        </w:rPr>
        <w:t xml:space="preserve">signal</w:t>
      </w:r>
      <w:r w:rsidRPr="000049D6">
        <w:rPr>
          <w:rFonts w:ascii="Calibri" w:hAnsi="Calibri" w:cs="Calibri"/>
          <w:bCs/>
          <w:color w:val="0D0D0D" w:themeColor="text1" w:themeTint="F2"/>
          <w:sz w:val="22"/>
          <w:szCs w:val="22"/>
          <w:bdr w:val="none" w:color="auto" w:sz="0" w:space="0" w:frame="1"/>
        </w:rPr>
        <w:t xml:space="preserve"> reproduction.</w:t>
      </w:r>
      <w:r w:rsidRPr="000049D6">
        <w:rPr>
          <w:rFonts w:ascii="Calibri" w:hAnsi="Calibri" w:cs="Calibri"/>
          <w:bCs/>
          <w:color w:val="0D0D0D" w:themeColor="text1" w:themeTint="F2"/>
          <w:sz w:val="22"/>
          <w:szCs w:val="22"/>
          <w:bdr w:val="none" w:color="auto" w:sz="0" w:space="0" w:frame="1"/>
        </w:rPr>
        <w:t xml:space="preserve"> The integrated Class D power amplifier delivers up to 1,000 </w:t>
      </w:r>
      <w:r w:rsidR="002D1F46">
        <w:rPr>
          <w:rFonts w:ascii="Calibri" w:hAnsi="Calibri" w:cs="Calibri"/>
          <w:bCs/>
          <w:color w:val="0D0D0D" w:themeColor="text1" w:themeTint="F2"/>
          <w:sz w:val="22"/>
          <w:szCs w:val="22"/>
          <w:bdr w:val="none" w:color="auto" w:sz="0" w:space="0" w:frame="1"/>
        </w:rPr>
        <w:t xml:space="preserve">W </w:t>
      </w:r>
      <w:r w:rsidRPr="000049D6">
        <w:rPr>
          <w:rFonts w:ascii="Calibri" w:hAnsi="Calibri" w:cs="Calibri"/>
          <w:bCs/>
          <w:color w:val="0D0D0D" w:themeColor="text1" w:themeTint="F2"/>
          <w:sz w:val="22"/>
          <w:szCs w:val="22"/>
          <w:bdr w:val="none" w:color="auto" w:sz="0" w:space="0" w:frame="1"/>
        </w:rPr>
        <w:t xml:space="preserve">peak power </w:t>
      </w:r>
      <w:r w:rsidR="002D1F46">
        <w:rPr>
          <w:rFonts w:ascii="Calibri" w:hAnsi="Calibri" w:cs="Calibri"/>
          <w:bCs/>
          <w:color w:val="0D0D0D" w:themeColor="text1" w:themeTint="F2"/>
          <w:sz w:val="22"/>
          <w:szCs w:val="22"/>
          <w:bdr w:val="none" w:color="auto" w:sz="0" w:space="0" w:frame="1"/>
        </w:rPr>
        <w:t xml:space="preserve">(</w:t>
      </w:r>
      <w:r w:rsidRPr="000049D6">
        <w:rPr>
          <w:rFonts w:ascii="Calibri" w:hAnsi="Calibri" w:cs="Calibri"/>
          <w:bCs/>
          <w:color w:val="0D0D0D" w:themeColor="text1" w:themeTint="F2"/>
          <w:sz w:val="22"/>
          <w:szCs w:val="22"/>
          <w:bdr w:val="none" w:color="auto" w:sz="0" w:space="0" w:frame="1"/>
        </w:rPr>
        <w:t xml:space="preserve">400 </w:t>
      </w:r>
      <w:r w:rsidR="002D1F46">
        <w:rPr>
          <w:rFonts w:ascii="Calibri" w:hAnsi="Calibri" w:cs="Calibri"/>
          <w:bCs/>
          <w:color w:val="0D0D0D" w:themeColor="text1" w:themeTint="F2"/>
          <w:sz w:val="22"/>
          <w:szCs w:val="22"/>
          <w:bdr w:val="none" w:color="auto" w:sz="0" w:space="0" w:frame="1"/>
        </w:rPr>
        <w:t xml:space="preserve">W </w:t>
      </w:r>
      <w:r w:rsidRPr="000049D6">
        <w:rPr>
          <w:rFonts w:ascii="Calibri" w:hAnsi="Calibri" w:cs="Calibri"/>
          <w:bCs/>
          <w:color w:val="0D0D0D" w:themeColor="text1" w:themeTint="F2"/>
          <w:sz w:val="22"/>
          <w:szCs w:val="22"/>
          <w:bdr w:val="none" w:color="auto" w:sz="0" w:space="0" w:frame="1"/>
        </w:rPr>
        <w:t xml:space="preserve">RMS</w:t>
      </w:r>
      <w:r w:rsidR="002D1F46">
        <w:rPr>
          <w:rFonts w:ascii="Calibri" w:hAnsi="Calibri" w:cs="Calibri"/>
          <w:bCs/>
          <w:color w:val="0D0D0D" w:themeColor="text1" w:themeTint="F2"/>
          <w:sz w:val="22"/>
          <w:szCs w:val="22"/>
          <w:bdr w:val="none" w:color="auto" w:sz="0" w:space="0" w:frame="1"/>
        </w:rPr>
        <w:t xml:space="preserve">) </w:t>
      </w:r>
      <w:r w:rsidRPr="000049D6">
        <w:rPr>
          <w:rFonts w:ascii="Calibri" w:hAnsi="Calibri" w:cs="Calibri"/>
          <w:bCs/>
          <w:color w:val="0D0D0D" w:themeColor="text1" w:themeTint="F2"/>
          <w:sz w:val="22"/>
          <w:szCs w:val="22"/>
          <w:bdr w:val="none" w:color="auto" w:sz="0" w:space="0" w:frame="1"/>
        </w:rPr>
        <w:t xml:space="preserve">and achieves a maximum </w:t>
      </w:r>
      <w:r w:rsidR="002D1F46">
        <w:rPr>
          <w:rFonts w:ascii="Calibri" w:hAnsi="Calibri" w:cs="Calibri"/>
          <w:bCs/>
          <w:color w:val="0D0D0D" w:themeColor="text1" w:themeTint="F2"/>
          <w:sz w:val="22"/>
          <w:szCs w:val="22"/>
          <w:bdr w:val="none" w:color="auto" w:sz="0" w:space="0" w:frame="1"/>
        </w:rPr>
        <w:t xml:space="preserve">sound pressure level </w:t>
      </w:r>
      <w:r w:rsidRPr="000049D6">
        <w:rPr>
          <w:rFonts w:ascii="Calibri" w:hAnsi="Calibri" w:cs="Calibri"/>
          <w:bCs/>
          <w:color w:val="0D0D0D" w:themeColor="text1" w:themeTint="F2"/>
          <w:sz w:val="22"/>
          <w:szCs w:val="22"/>
          <w:bdr w:val="none" w:color="auto" w:sz="0" w:space="0" w:frame="1"/>
        </w:rPr>
        <w:t xml:space="preserve">of 116 dB SPL – sufficient </w:t>
      </w:r>
      <w:r w:rsidR="002D1F46">
        <w:rPr>
          <w:rFonts w:ascii="Calibri" w:hAnsi="Calibri" w:cs="Calibri"/>
          <w:bCs/>
          <w:color w:val="0D0D0D" w:themeColor="text1" w:themeTint="F2"/>
          <w:sz w:val="22"/>
          <w:szCs w:val="22"/>
          <w:bdr w:val="none" w:color="auto" w:sz="0" w:space="0" w:frame="1"/>
        </w:rPr>
        <w:t xml:space="preserve">power and </w:t>
      </w:r>
      <w:r w:rsidRPr="000049D6">
        <w:rPr>
          <w:rFonts w:ascii="Calibri" w:hAnsi="Calibri" w:cs="Calibri"/>
          <w:bCs/>
          <w:color w:val="0D0D0D" w:themeColor="text1" w:themeTint="F2"/>
          <w:sz w:val="22"/>
          <w:szCs w:val="22"/>
          <w:bdr w:val="none" w:color="auto" w:sz="0" w:space="0" w:frame="1"/>
        </w:rPr>
        <w:t xml:space="preserve">headroom even for larger control rooms and </w:t>
      </w:r>
      <w:r w:rsidRPr="000049D6">
        <w:rPr>
          <w:rFonts w:ascii="Calibri" w:hAnsi="Calibri" w:cs="Calibri"/>
          <w:bCs/>
          <w:color w:val="0D0D0D" w:themeColor="text1" w:themeTint="F2"/>
          <w:sz w:val="22"/>
          <w:szCs w:val="22"/>
          <w:bdr w:val="none" w:color="auto" w:sz="0" w:space="0" w:frame="1"/>
        </w:rPr>
        <w:t xml:space="preserve">controlled monitoring at higher levels.</w:t>
      </w:r>
    </w:p>
    <w:p w:rsidRPr="000049D6" w:rsidR="000049D6" w:rsidP="000049D6" w:rsidRDefault="000049D6" w14:paraId="77BB347C" w14:textId="77777777">
      <w:pPr>
        <w:shd w:val="clear" w:color="auto" w:fill="FFFFFF"/>
        <w:rPr>
          <w:rFonts w:ascii="Calibri" w:hAnsi="Calibri" w:cs="Calibri"/>
          <w:bCs/>
          <w:color w:val="0D0D0D" w:themeColor="text1" w:themeTint="F2"/>
          <w:sz w:val="22"/>
          <w:szCs w:val="22"/>
          <w:bdr w:val="none" w:color="auto" w:sz="0" w:space="0" w:frame="1"/>
        </w:rPr>
      </w:pPr>
    </w:p>
    <w:p w:rsidRPr="000049D6" w:rsidR="000049D6" w:rsidP="000049D6" w:rsidRDefault="000049D6" w14:paraId="63D98323" w14:textId="6949F6C1">
      <w:pPr>
        <w:shd w:val="clear" w:color="auto" w:fill="FFFFFF"/>
        <w:rPr>
          <w:rFonts w:ascii="Calibri" w:hAnsi="Calibri" w:cs="Calibri"/>
          <w:bCs/>
          <w:color w:val="0D0D0D" w:themeColor="text1" w:themeTint="F2"/>
          <w:sz w:val="22"/>
          <w:szCs w:val="22"/>
          <w:bdr w:val="none" w:color="auto" w:sz="0" w:space="0" w:frame="1"/>
        </w:rPr>
      </w:pPr>
      <w:r w:rsidRPr="000049D6">
        <w:rPr>
          <w:rFonts w:ascii="Calibri" w:hAnsi="Calibri" w:cs="Calibri"/>
          <w:bCs/>
          <w:color w:val="0D0D0D" w:themeColor="text1" w:themeTint="F2"/>
          <w:sz w:val="22"/>
          <w:szCs w:val="22"/>
          <w:bdr w:val="none" w:color="auto" w:sz="0" w:space="0" w:frame="1"/>
        </w:rPr>
        <w:t xml:space="preserve">The ORBIT 11 offers extensive customisation options for room acoustics and placement. These </w:t>
      </w:r>
      <w:r w:rsidR="00287F76">
        <w:rPr>
          <w:rFonts w:ascii="Calibri" w:hAnsi="Calibri" w:cs="Calibri"/>
          <w:bCs/>
          <w:color w:val="0D0D0D" w:themeColor="text1" w:themeTint="F2"/>
          <w:sz w:val="22"/>
          <w:szCs w:val="22"/>
          <w:bdr w:val="none" w:color="auto" w:sz="0" w:space="0" w:frame="1"/>
        </w:rPr>
        <w:t xml:space="preserve">include a </w:t>
      </w:r>
      <w:r w:rsidR="00287F76">
        <w:rPr>
          <w:rFonts w:ascii="Calibri" w:hAnsi="Calibri" w:cs="Calibri"/>
          <w:bCs/>
          <w:color w:val="0D0D0D" w:themeColor="text1" w:themeTint="F2"/>
          <w:sz w:val="22"/>
          <w:szCs w:val="22"/>
          <w:bdr w:val="none" w:color="auto" w:sz="0" w:space="0" w:frame="1"/>
        </w:rPr>
        <w:t xml:space="preserve">parametric</w:t>
      </w:r>
      <w:r w:rsidRPr="000049D6">
        <w:rPr>
          <w:rFonts w:ascii="Calibri" w:hAnsi="Calibri" w:cs="Calibri"/>
          <w:bCs/>
          <w:color w:val="0D0D0D" w:themeColor="text1" w:themeTint="F2"/>
          <w:sz w:val="22"/>
          <w:szCs w:val="22"/>
          <w:bdr w:val="none" w:color="auto" w:sz="0" w:space="0" w:frame="1"/>
        </w:rPr>
        <w:t xml:space="preserve"> 3-band EQ, high-pass filter </w:t>
      </w:r>
      <w:r w:rsidR="00B25BE3">
        <w:rPr>
          <w:rFonts w:ascii="Calibri" w:hAnsi="Calibri" w:cs="Calibri"/>
          <w:bCs/>
          <w:color w:val="0D0D0D" w:themeColor="text1" w:themeTint="F2"/>
          <w:sz w:val="22"/>
          <w:szCs w:val="22"/>
          <w:bdr w:val="none" w:color="auto" w:sz="0" w:space="0" w:frame="1"/>
        </w:rPr>
        <w:t xml:space="preserve">and </w:t>
      </w:r>
      <w:r w:rsidRPr="000049D6">
        <w:rPr>
          <w:rFonts w:ascii="Calibri" w:hAnsi="Calibri" w:cs="Calibri"/>
          <w:bCs/>
          <w:color w:val="0D0D0D" w:themeColor="text1" w:themeTint="F2"/>
          <w:sz w:val="22"/>
          <w:szCs w:val="22"/>
          <w:bdr w:val="none" w:color="auto" w:sz="0" w:space="0" w:frame="1"/>
        </w:rPr>
        <w:t xml:space="preserve">presets for different </w:t>
      </w:r>
      <w:r w:rsidR="00040653">
        <w:rPr>
          <w:rFonts w:ascii="Calibri" w:hAnsi="Calibri" w:cs="Calibri"/>
          <w:bCs/>
          <w:color w:val="0D0D0D" w:themeColor="text1" w:themeTint="F2"/>
          <w:sz w:val="22"/>
          <w:szCs w:val="22"/>
          <w:bdr w:val="none" w:color="auto" w:sz="0" w:space="0" w:frame="1"/>
        </w:rPr>
        <w:t xml:space="preserve">speaker positions and distances from the wall</w:t>
      </w:r>
      <w:r w:rsidRPr="000049D6">
        <w:rPr>
          <w:rFonts w:ascii="Calibri" w:hAnsi="Calibri" w:cs="Calibri"/>
          <w:bCs/>
          <w:color w:val="0D0D0D" w:themeColor="text1" w:themeTint="F2"/>
          <w:sz w:val="22"/>
          <w:szCs w:val="22"/>
          <w:bdr w:val="none" w:color="auto" w:sz="0" w:space="0" w:frame="1"/>
        </w:rPr>
        <w:t xml:space="preserve">. Operation is via a clearly laid out control panel on the top of the cabinet, which </w:t>
      </w:r>
      <w:r w:rsidRPr="000049D6">
        <w:rPr>
          <w:rFonts w:ascii="Calibri" w:hAnsi="Calibri" w:cs="Calibri"/>
          <w:bCs/>
          <w:color w:val="0D0D0D" w:themeColor="text1" w:themeTint="F2"/>
          <w:sz w:val="22"/>
          <w:szCs w:val="22"/>
          <w:bdr w:val="none" w:color="auto" w:sz="0" w:space="0" w:frame="1"/>
        </w:rPr>
        <w:t xml:space="preserve">allows quick access without </w:t>
      </w:r>
      <w:r w:rsidRPr="000049D6">
        <w:rPr>
          <w:rFonts w:ascii="Calibri" w:hAnsi="Calibri" w:cs="Calibri"/>
          <w:bCs/>
          <w:color w:val="0D0D0D" w:themeColor="text1" w:themeTint="F2"/>
          <w:sz w:val="22"/>
          <w:szCs w:val="22"/>
          <w:bdr w:val="none" w:color="auto" w:sz="0" w:space="0" w:frame="1"/>
        </w:rPr>
        <w:t xml:space="preserve">having to reach </w:t>
      </w:r>
      <w:r w:rsidR="00B25BE3">
        <w:rPr>
          <w:rFonts w:ascii="Calibri" w:hAnsi="Calibri" w:cs="Calibri"/>
          <w:bCs/>
          <w:color w:val="0D0D0D" w:themeColor="text1" w:themeTint="F2"/>
          <w:sz w:val="22"/>
          <w:szCs w:val="22"/>
          <w:bdr w:val="none" w:color="auto" w:sz="0" w:space="0" w:frame="1"/>
        </w:rPr>
        <w:t xml:space="preserve">awkwardly </w:t>
      </w:r>
      <w:r w:rsidRPr="000049D6">
        <w:rPr>
          <w:rFonts w:ascii="Calibri" w:hAnsi="Calibri" w:cs="Calibri"/>
          <w:bCs/>
          <w:color w:val="0D0D0D" w:themeColor="text1" w:themeTint="F2"/>
          <w:sz w:val="22"/>
          <w:szCs w:val="22"/>
          <w:bdr w:val="none" w:color="auto" w:sz="0" w:space="0" w:frame="1"/>
        </w:rPr>
        <w:t xml:space="preserve">behind the monitor.</w:t>
      </w:r>
    </w:p>
    <w:p w:rsidRPr="000049D6" w:rsidR="000049D6" w:rsidP="000049D6" w:rsidRDefault="000049D6" w14:paraId="2A88CCED" w14:textId="77777777">
      <w:pPr>
        <w:shd w:val="clear" w:color="auto" w:fill="FFFFFF"/>
        <w:rPr>
          <w:rFonts w:ascii="Calibri" w:hAnsi="Calibri" w:cs="Calibri"/>
          <w:bCs/>
          <w:color w:val="0D0D0D" w:themeColor="text1" w:themeTint="F2"/>
          <w:sz w:val="22"/>
          <w:szCs w:val="22"/>
          <w:bdr w:val="none" w:color="auto" w:sz="0" w:space="0" w:frame="1"/>
        </w:rPr>
      </w:pPr>
    </w:p>
    <w:p w:rsidRPr="000049D6" w:rsidR="000049D6" w:rsidP="000049D6" w:rsidRDefault="000049D6" w14:paraId="5D2A7990" w14:textId="245E0427">
      <w:pPr>
        <w:shd w:val="clear" w:color="auto" w:fill="FFFFFF"/>
        <w:rPr>
          <w:rFonts w:ascii="Calibri" w:hAnsi="Calibri" w:cs="Calibri"/>
          <w:bCs/>
          <w:color w:val="0D0D0D" w:themeColor="text1" w:themeTint="F2"/>
          <w:sz w:val="22"/>
          <w:szCs w:val="22"/>
          <w:bdr w:val="none" w:color="auto" w:sz="0" w:space="0" w:frame="1"/>
        </w:rPr>
      </w:pPr>
      <w:r w:rsidRPr="000049D6">
        <w:rPr>
          <w:rFonts w:ascii="Calibri" w:hAnsi="Calibri" w:cs="Calibri"/>
          <w:bCs/>
          <w:color w:val="0D0D0D" w:themeColor="text1" w:themeTint="F2"/>
          <w:sz w:val="22"/>
          <w:szCs w:val="22"/>
          <w:bdr w:val="none" w:color="auto" w:sz="0" w:space="0" w:frame="1"/>
        </w:rPr>
        <w:t xml:space="preserve">In addition to analogue XLR inputs, the ORBIT 11 features </w:t>
      </w:r>
      <w:r w:rsidR="00CD1F0F">
        <w:rPr>
          <w:rFonts w:ascii="Calibri" w:hAnsi="Calibri" w:cs="Calibri"/>
          <w:bCs/>
          <w:color w:val="0D0D0D" w:themeColor="text1" w:themeTint="F2"/>
          <w:sz w:val="22"/>
          <w:szCs w:val="22"/>
          <w:bdr w:val="none" w:color="auto" w:sz="0" w:space="0" w:frame="1"/>
        </w:rPr>
        <w:t xml:space="preserve">AES3 connections</w:t>
      </w:r>
      <w:r w:rsidRPr="000049D6">
        <w:rPr>
          <w:rFonts w:ascii="Calibri" w:hAnsi="Calibri" w:cs="Calibri"/>
          <w:bCs/>
          <w:color w:val="0D0D0D" w:themeColor="text1" w:themeTint="F2"/>
          <w:sz w:val="22"/>
          <w:szCs w:val="22"/>
          <w:bdr w:val="none" w:color="auto" w:sz="0" w:space="0" w:frame="1"/>
        </w:rPr>
        <w:t xml:space="preserve"> </w:t>
      </w:r>
      <w:r w:rsidR="00CD1F0F">
        <w:rPr>
          <w:rFonts w:ascii="Calibri" w:hAnsi="Calibri" w:cs="Calibri"/>
          <w:bCs/>
          <w:color w:val="0D0D0D" w:themeColor="text1" w:themeTint="F2"/>
          <w:sz w:val="22"/>
          <w:szCs w:val="22"/>
          <w:bdr w:val="none" w:color="auto" w:sz="0" w:space="0" w:frame="1"/>
        </w:rPr>
        <w:t xml:space="preserve">for </w:t>
      </w:r>
      <w:r w:rsidRPr="000049D6">
        <w:rPr>
          <w:rFonts w:ascii="Calibri" w:hAnsi="Calibri" w:cs="Calibri"/>
          <w:bCs/>
          <w:color w:val="0D0D0D" w:themeColor="text1" w:themeTint="F2"/>
          <w:sz w:val="22"/>
          <w:szCs w:val="22"/>
          <w:bdr w:val="none" w:color="auto" w:sz="0" w:space="0" w:frame="1"/>
        </w:rPr>
        <w:t xml:space="preserve">digital signal routing and easy loop-through. The low-resonance die-cast aluminium enclosure with decoupled feet reduces mechanical influences and contributes to clean, controlled reproduction. The </w:t>
      </w:r>
      <w:r w:rsidR="00CD1F0F">
        <w:rPr>
          <w:rFonts w:ascii="Calibri" w:hAnsi="Calibri" w:cs="Calibri"/>
          <w:bCs/>
          <w:color w:val="0D0D0D" w:themeColor="text1" w:themeTint="F2"/>
          <w:sz w:val="22"/>
          <w:szCs w:val="22"/>
          <w:bdr w:val="none" w:color="auto" w:sz="0" w:space="0" w:frame="1"/>
        </w:rPr>
        <w:t xml:space="preserve">ORBIT 11 </w:t>
      </w:r>
      <w:r w:rsidRPr="000049D6">
        <w:rPr>
          <w:rFonts w:ascii="Calibri" w:hAnsi="Calibri" w:cs="Calibri"/>
          <w:bCs/>
          <w:color w:val="0D0D0D" w:themeColor="text1" w:themeTint="F2"/>
          <w:sz w:val="22"/>
          <w:szCs w:val="22"/>
          <w:bdr w:val="none" w:color="auto" w:sz="0" w:space="0" w:frame="1"/>
        </w:rPr>
        <w:t xml:space="preserve">is available in black or white and fits flexibly into different studio setups.</w:t>
      </w:r>
    </w:p>
    <w:p w:rsidRPr="000049D6" w:rsidR="000049D6" w:rsidP="000049D6" w:rsidRDefault="000049D6" w14:paraId="07978C47" w14:textId="77777777">
      <w:pPr>
        <w:shd w:val="clear" w:color="auto" w:fill="FFFFFF"/>
        <w:rPr>
          <w:rFonts w:ascii="Calibri" w:hAnsi="Calibri" w:cs="Calibri"/>
          <w:bCs/>
          <w:color w:val="0D0D0D" w:themeColor="text1" w:themeTint="F2"/>
          <w:sz w:val="22"/>
          <w:szCs w:val="22"/>
          <w:bdr w:val="none" w:color="auto" w:sz="0" w:space="0" w:frame="1"/>
        </w:rPr>
      </w:pPr>
    </w:p>
    <w:p w:rsidRPr="000049D6" w:rsidR="008A52C9" w:rsidP="000049D6" w:rsidRDefault="000049D6" w14:paraId="158945AD" w14:textId="5A527591">
      <w:pPr>
        <w:shd w:val="clear" w:color="auto" w:fill="FFFFFF"/>
        <w:rPr>
          <w:rFonts w:ascii="Calibri" w:hAnsi="Calibri" w:cs="Calibri"/>
          <w:bCs/>
          <w:color w:val="0D0D0D" w:themeColor="text1" w:themeTint="F2"/>
          <w:sz w:val="22"/>
          <w:szCs w:val="22"/>
          <w:bdr w:val="none" w:color="auto" w:sz="0" w:space="0" w:frame="1"/>
        </w:rPr>
      </w:pPr>
      <w:r w:rsidRPr="000049D6">
        <w:rPr>
          <w:rFonts w:ascii="Calibri" w:hAnsi="Calibri" w:cs="Calibri"/>
          <w:bCs/>
          <w:color w:val="0D0D0D" w:themeColor="text1" w:themeTint="F2"/>
          <w:sz w:val="22"/>
          <w:szCs w:val="22"/>
          <w:bdr w:val="none" w:color="auto" w:sz="0" w:space="0" w:frame="1"/>
        </w:rPr>
        <w:t xml:space="preserve">The Palmer ORBIT 11 will be </w:t>
      </w:r>
      <w:r w:rsidRPr="000049D6">
        <w:rPr>
          <w:rFonts w:ascii="Calibri" w:hAnsi="Calibri" w:cs="Calibri"/>
          <w:bCs/>
          <w:color w:val="0D0D0D" w:themeColor="text1" w:themeTint="F2"/>
          <w:sz w:val="22"/>
          <w:szCs w:val="22"/>
          <w:bdr w:val="none" w:color="auto" w:sz="0" w:space="0" w:frame="1"/>
        </w:rPr>
        <w:t xml:space="preserve">available </w:t>
      </w:r>
      <w:r w:rsidRPr="000049D6">
        <w:rPr>
          <w:rFonts w:ascii="Calibri" w:hAnsi="Calibri" w:cs="Calibri"/>
          <w:bCs/>
          <w:color w:val="0D0D0D" w:themeColor="text1" w:themeTint="F2"/>
          <w:sz w:val="22"/>
          <w:szCs w:val="22"/>
          <w:bdr w:val="none" w:color="auto" w:sz="0" w:space="0" w:frame="1"/>
        </w:rPr>
        <w:t xml:space="preserve">from February 2026 </w:t>
      </w:r>
      <w:r w:rsidR="00810946">
        <w:rPr>
          <w:rFonts w:ascii="Calibri" w:hAnsi="Calibri" w:cs="Calibri"/>
          <w:bCs/>
          <w:color w:val="0D0D0D" w:themeColor="text1" w:themeTint="F2"/>
          <w:sz w:val="22"/>
          <w:szCs w:val="22"/>
          <w:bdr w:val="none" w:color="auto" w:sz="0" w:space="0" w:frame="1"/>
        </w:rPr>
        <w:t xml:space="preserve">at an </w:t>
      </w:r>
      <w:r w:rsidRPr="00195755" w:rsidR="00810946">
        <w:rPr>
          <w:rFonts w:ascii="Calibri" w:hAnsi="Calibri" w:cs="Calibri"/>
          <w:bCs/>
          <w:color w:val="0D0D0D" w:themeColor="text1" w:themeTint="F2"/>
          <w:sz w:val="22"/>
          <w:szCs w:val="22"/>
          <w:bdr w:val="none" w:color="auto" w:sz="0" w:space="0" w:frame="1"/>
        </w:rPr>
        <w:t xml:space="preserve">RRP of </w:t>
      </w:r>
      <w:r w:rsidRPr="00195755" w:rsidR="00810946">
        <w:rPr>
          <w:rFonts w:ascii="Calibri" w:hAnsi="Calibri" w:cs="Calibri"/>
          <w:bCs/>
          <w:color w:val="0D0D0D" w:themeColor="text1" w:themeTint="F2"/>
          <w:sz w:val="22"/>
          <w:szCs w:val="22"/>
          <w:bdr w:val="none" w:color="auto" w:sz="0" w:space="0" w:frame="1"/>
        </w:rPr>
        <w:t xml:space="preserve">£799 (including VAT)</w:t>
      </w:r>
      <w:r w:rsidRPr="000049D6">
        <w:rPr>
          <w:rFonts w:ascii="Calibri" w:hAnsi="Calibri" w:cs="Calibri"/>
          <w:bCs/>
          <w:color w:val="0D0D0D" w:themeColor="text1" w:themeTint="F2"/>
          <w:sz w:val="22"/>
          <w:szCs w:val="22"/>
          <w:bdr w:val="none" w:color="auto" w:sz="0" w:space="0" w:frame="1"/>
        </w:rPr>
        <w:t xml:space="preserve">.</w:t>
      </w:r>
    </w:p>
    <w:p w:rsidRPr="008A52C9" w:rsidR="002F20E1" w:rsidP="000C4ECE" w:rsidRDefault="002F20E1" w14:paraId="40ADA049" w14:textId="77777777">
      <w:pPr>
        <w:pStyle w:val="KeinLeerraum"/>
        <w:rPr>
          <w:rFonts w:ascii="Calibri" w:hAnsi="Calibri" w:cs="Calibri"/>
          <w:color w:val="0D0D0D" w:themeColor="text1" w:themeTint="F2"/>
          <w:sz w:val="22"/>
          <w:szCs w:val="22"/>
        </w:rPr>
      </w:pPr>
    </w:p>
    <w:p w:rsidRPr="0010551F" w:rsidR="006D2E7A" w:rsidP="000C4ECE" w:rsidRDefault="00ED5787" w14:paraId="5FEAF5D2" w14:textId="6C88875D">
      <w:pPr>
        <w:pStyle w:val="KeinLeerraum"/>
        <w:rPr>
          <w:rFonts w:ascii="Calibri" w:hAnsi="Calibri" w:cs="Calibri"/>
          <w:color w:val="0D0D0D" w:themeColor="text1" w:themeTint="F2"/>
          <w:sz w:val="22"/>
          <w:szCs w:val="22"/>
        </w:rPr>
      </w:pPr>
      <w:r>
        <w:rPr>
          <w:rFonts w:ascii="Calibri" w:hAnsi="Calibri" w:cs="Calibri"/>
          <w:color w:val="000000" w:themeColor="text1"/>
          <w:sz w:val="22"/>
          <w:szCs w:val="22"/>
        </w:rPr>
        <w:t xml:space="preserve">#Palmer </w:t>
      </w:r>
      <w:r>
        <w:rPr>
          <w:rFonts w:ascii="Calibri" w:hAnsi="Calibri" w:cs="Calibri"/>
          <w:color w:val="000000" w:themeColor="text1"/>
          <w:sz w:val="22"/>
          <w:szCs w:val="22"/>
        </w:rPr>
        <w:t xml:space="preserve"> #BeTrueToYourSound </w:t>
      </w:r>
      <w:r w:rsidRPr="008A52C9" w:rsidR="00246997">
        <w:rPr>
          <w:rFonts w:ascii="Calibri" w:hAnsi="Calibri" w:cs="Calibri"/>
          <w:color w:val="000000" w:themeColor="text1"/>
          <w:sz w:val="22"/>
          <w:szCs w:val="22"/>
        </w:rPr>
        <w:t xml:space="preserve"> #AdamHallGroup </w:t>
      </w:r>
      <w:r w:rsidR="00140348">
        <w:rPr>
          <w:rFonts w:ascii="Calibri" w:hAnsi="Calibri" w:cs="Calibri"/>
          <w:color w:val="0D0D0D" w:themeColor="text1" w:themeTint="F2"/>
          <w:sz w:val="22"/>
          <w:szCs w:val="22"/>
        </w:rPr>
        <w:t xml:space="preserve"> #EngineeringFascination</w:t>
      </w:r>
    </w:p>
    <w:p w:rsidRPr="0010551F" w:rsidR="00E0724D" w:rsidP="000C4ECE" w:rsidRDefault="00E0724D" w14:paraId="1DAC6DB1" w14:textId="77777777">
      <w:pPr>
        <w:pStyle w:val="KeinLeerraum"/>
        <w:rPr>
          <w:rFonts w:ascii="Calibri" w:hAnsi="Calibri" w:cs="Calibri"/>
          <w:color w:val="0D0D0D" w:themeColor="text1" w:themeTint="F2"/>
          <w:sz w:val="22"/>
          <w:szCs w:val="22"/>
        </w:rPr>
      </w:pPr>
    </w:p>
    <w:p w:rsidRPr="00246997" w:rsidR="004818CF" w:rsidP="000C4ECE" w:rsidRDefault="006D2E7A" w14:paraId="6E7E6E5D" w14:textId="417E4D31">
      <w:pPr>
        <w:rPr>
          <w:rStyle w:val="Hyperlink"/>
          <w:rFonts w:ascii="Calibri" w:hAnsi="Calibri" w:cs="Calibri"/>
          <w:b/>
          <w:color w:val="auto"/>
          <w:sz w:val="22"/>
          <w:szCs w:val="22"/>
          <w:u w:val="none"/>
        </w:rPr>
      </w:pPr>
      <w:r w:rsidRPr="0010551F">
        <w:rPr>
          <w:rFonts w:ascii="Calibri" w:hAnsi="Calibri" w:cs="Calibri"/>
          <w:b/>
          <w:sz w:val="22"/>
          <w:szCs w:val="22"/>
        </w:rPr>
        <w:t xml:space="preserve">Further information: </w:t>
      </w:r>
    </w:p>
    <w:p w:rsidRPr="00246997" w:rsidR="00035C36" w:rsidP="000C4ECE" w:rsidRDefault="00246997" w14:paraId="55862C23" w14:textId="76EB71EB">
      <w:pPr>
        <w:rPr>
          <w:rStyle w:val="Hyperlink"/>
          <w:rFonts w:ascii="Calibri" w:hAnsi="Calibri" w:cs="Calibri"/>
          <w:sz w:val="22"/>
          <w:szCs w:val="22"/>
        </w:rPr>
      </w:pPr>
      <w:hyperlink w:history="1" r:id="rId7">
        <w:r w:rsidRPr="00246997">
          <w:rPr>
            <w:rStyle w:val="Hyperlink"/>
            <w:rFonts w:ascii="Calibri" w:hAnsi="Calibri" w:cs="Calibri"/>
            <w:sz w:val="22"/>
            <w:szCs w:val="22"/>
          </w:rPr>
          <w:t xml:space="preserve">palmer-germany.com</w:t>
        </w:r>
      </w:hyperlink>
    </w:p>
    <w:p w:rsidRPr="004818CF" w:rsidR="00035C36" w:rsidP="004330C6" w:rsidRDefault="00035C36" w14:paraId="553130F3" w14:textId="465A20EA">
      <w:pPr>
        <w:rPr>
          <w:rStyle w:val="Hyperlink"/>
          <w:rFonts w:ascii="Calibri" w:hAnsi="Calibri" w:eastAsia="Arial" w:cs="Calibri"/>
          <w:b/>
          <w:bCs/>
          <w:color w:val="auto"/>
          <w:sz w:val="22"/>
          <w:szCs w:val="22"/>
          <w:u w:val="none"/>
        </w:rPr>
      </w:pPr>
      <w:hyperlink w:history="1" r:id="rId8">
        <w:r w:rsidRPr="00246997">
          <w:rPr>
            <w:rStyle w:val="Hyperlink"/>
            <w:rFonts w:ascii="Calibri" w:hAnsi="Calibri" w:cs="Calibri"/>
            <w:sz w:val="22"/>
            <w:szCs w:val="22"/>
          </w:rPr>
          <w:t xml:space="preserve">adamhall.com</w:t>
        </w:r>
      </w:hyperlink>
      <w:r w:rsidRPr="0010551F">
        <w:rPr>
          <w:rFonts w:ascii="Calibri" w:hAnsi="Calibri" w:cs="Calibri"/>
          <w:sz w:val="22"/>
          <w:szCs w:val="22"/>
          <w:u w:val="single"/>
        </w:rPr>
        <w:br/>
      </w:r>
    </w:p>
    <w:p w:rsidRPr="0010551F" w:rsidR="00035C36" w:rsidP="00035C36" w:rsidRDefault="00035C36" w14:paraId="3FCDB1A3" w14:textId="77777777">
      <w:pPr>
        <w:pStyle w:val="KeinLeerraum"/>
        <w:rPr>
          <w:rFonts w:ascii="Calibri" w:hAnsi="Calibri"/>
          <w:b/>
          <w:color w:val="808080"/>
          <w:sz w:val="18"/>
        </w:rPr>
      </w:pPr>
      <w:r w:rsidRPr="0010551F">
        <w:rPr>
          <w:rFonts w:ascii="Calibri" w:hAnsi="Calibri"/>
          <w:b/>
          <w:color w:val="808080"/>
          <w:sz w:val="18"/>
        </w:rPr>
        <w:t xml:space="preserve">About the Adam Hall Group</w:t>
      </w:r>
    </w:p>
    <w:p w:rsidRPr="0010551F" w:rsidR="002D3FAB" w:rsidP="00035C36" w:rsidRDefault="00035C36" w14:paraId="17D8C541" w14:textId="0DEDF50E">
      <w:pPr>
        <w:pStyle w:val="KeinLeerraum"/>
        <w:rPr>
          <w:rFonts w:ascii="Calibri" w:hAnsi="Calibri"/>
          <w:color w:val="808080"/>
          <w:sz w:val="18"/>
        </w:rPr>
      </w:pPr>
      <w:r w:rsidRPr="0010551F">
        <w:rPr>
          <w:rFonts w:ascii="Calibri" w:hAnsi="Calibri"/>
          <w:color w:val="808080"/>
          <w:sz w:val="18"/>
        </w:rPr>
        <w:t xml:space="preserve">The Adam Hall Group is a leading German manufacturer and distributor offering event technology solutions to business partners around the world. Its target groups include retailers, B2B distributors, event and rental companies, broadcast studios, AV and system integrators, private and public enterprises, and manufacturers of industrial flight cases. Under its brands </w:t>
      </w:r>
      <w:r w:rsidRPr="0010551F">
        <w:rPr>
          <w:rFonts w:ascii="Calibri" w:hAnsi="Calibri"/>
          <w:b/>
          <w:color w:val="808080"/>
          <w:sz w:val="18"/>
        </w:rPr>
        <w:t xml:space="preserve">LD Systems®, Cameo®, Gravity®, Defender®, Palmer® and Adam Hall®</w:t>
      </w:r>
      <w:r w:rsidRPr="0010551F">
        <w:rPr>
          <w:rFonts w:ascii="Calibri" w:hAnsi="Calibri"/>
          <w:color w:val="808080"/>
          <w:sz w:val="18"/>
        </w:rPr>
        <w:t xml:space="preserve">, </w:t>
      </w:r>
      <w:r w:rsidRPr="0010551F">
        <w:rPr>
          <w:rFonts w:ascii="Calibri" w:hAnsi="Calibri"/>
          <w:color w:val="808080"/>
          <w:sz w:val="18"/>
        </w:rPr>
        <w:t xml:space="preserve">the company </w:t>
      </w:r>
      <w:r w:rsidRPr="0010551F">
        <w:rPr>
          <w:rFonts w:ascii="Calibri" w:hAnsi="Calibri"/>
          <w:color w:val="808080"/>
          <w:sz w:val="18"/>
        </w:rPr>
        <w:t xml:space="preserve">offers a wide range of professional audio and lighting technology, stage equipment and flight case hardware. Founded in 1975, the Adam Hall Group has developed into a modern, innovative event technology company and has over 14,000 m² of storage space at its logistics park at its headquarters near Frankfurt am Main. Thanks to its focus on value creation and service, the Adam Hall Group has already received a number of international awards for its innovative product developments and forward-looking product design from renowned institutions such as "Red Dot", "German Design Award" and "iF Industrie Forum Design". LD Systems®, in cooperation with the design agency F. A. Porsche, is showcasing the future of pro audio design with its iconic MAUI® P900 speaker column and has been honoured with the coveted German Design Award. Further information about the Adam Hall Group can be found online at </w:t>
      </w:r>
    </w:p>
    <w:p w:rsidRPr="0010551F" w:rsidR="000C2D39" w:rsidP="00035C36" w:rsidRDefault="002D3FAB" w14:paraId="11CC66ED" w14:textId="220C9233">
      <w:pPr>
        <w:pStyle w:val="KeinLeerraum"/>
        <w:rPr>
          <w:rFonts w:ascii="Arial" w:hAnsi="Arial"/>
          <w:sz w:val="20"/>
        </w:rPr>
      </w:pPr>
      <w:hyperlink w:history="1" r:id="rId9">
        <w:r w:rsidRPr="0010551F">
          <w:rPr>
            <w:rStyle w:val="Hyperlink"/>
            <w:rFonts w:ascii="Calibri" w:hAnsi="Calibri"/>
            <w:sz w:val="18"/>
          </w:rPr>
          <w:t xml:space="preserve">www.adamhall.com</w:t>
        </w:r>
      </w:hyperlink>
    </w:p>
    <w:sectPr w:rsidRPr="0010551F" w:rsidR="000C2D39" w:rsidSect="0046543C">
      <w:headerReference w:type="default" r:id="rId10"/>
      <w:footerReference w:type="default" r:id="rId11"/>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5D55" w:rsidP="004330C6" w:rsidRDefault="00745D55" w14:paraId="37C72E40" w14:textId="77777777">
      <w:r>
        <w:separator/>
      </w:r>
    </w:p>
  </w:endnote>
  <w:endnote w:type="continuationSeparator" w:id="0">
    <w:p w:rsidR="00745D55" w:rsidP="004330C6" w:rsidRDefault="00745D55" w14:paraId="6E85A76F" w14:textId="77777777">
      <w:r>
        <w:continuationSeparator/>
      </w:r>
    </w:p>
  </w:endnote>
  <w:endnote w:type="continuationNotice" w:id="1">
    <w:p w:rsidR="00745D55" w:rsidRDefault="00745D55" w14:paraId="6679CDC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330C6" w:rsidRDefault="00745D55" w14:paraId="21D50614" w14:textId="77777777">
    <w:pPr>
      <w:pStyle w:val="Fuzeile"/>
    </w:pPr>
    <w:r>
      <w:rPr>
        <w:noProof/>
        <w:lang w:val="en-US" w:eastAsia="en-US" w:bidi="ar-SA"/>
      </w:rPr>
      <w:pict w14:anchorId="3DEE785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508.2pt;height:32pt;mso-width-percent:0;mso-height-percent:0;mso-width-percent:0;mso-height-percent:0" alt="Fußzeile_Brands_NEU2019" type="#_x0000_t75">
          <v:imagedata o:title="Fußzeile_Brands_NEU2019" r:id="rId1"/>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5D55" w:rsidP="004330C6" w:rsidRDefault="00745D55" w14:paraId="4B8EAA4A" w14:textId="77777777">
      <w:r>
        <w:separator/>
      </w:r>
    </w:p>
  </w:footnote>
  <w:footnote w:type="continuationSeparator" w:id="0">
    <w:p w:rsidR="00745D55" w:rsidP="004330C6" w:rsidRDefault="00745D55" w14:paraId="64E1CBA9" w14:textId="77777777">
      <w:r>
        <w:continuationSeparator/>
      </w:r>
    </w:p>
  </w:footnote>
  <w:footnote w:type="continuationNotice" w:id="1">
    <w:p w:rsidR="00745D55" w:rsidRDefault="00745D55" w14:paraId="001727FB" w14:textId="77777777"/>
  </w:footnote>
</w:footnotes>
</file>

<file path=word/header1.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304C9" w:rsidR="004330C6" w:rsidP="004330C6" w:rsidRDefault="004330C6" w14:paraId="34186509" w14:textId="77777777">
    <w:pPr>
      <w:pStyle w:val="Kopfzeile"/>
      <w:jc w:val="right"/>
      <w:rPr>
        <w:u w:val="single"/>
      </w:rPr>
    </w:pPr>
    <w:r>
      <w:rPr>
        <w:noProof/>
        <w:lang w:val="en-US" w:eastAsia="en-US" w:bidi="ar-SA"/>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rsidR="004330C6" w:rsidRDefault="004330C6" w14:paraId="26E8DF2A"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49D6"/>
    <w:rsid w:val="000064B6"/>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0653"/>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204A"/>
    <w:rsid w:val="000927A5"/>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3771"/>
    <w:rsid w:val="0019496E"/>
    <w:rsid w:val="00197BE9"/>
    <w:rsid w:val="001A1584"/>
    <w:rsid w:val="001B000E"/>
    <w:rsid w:val="001B0461"/>
    <w:rsid w:val="001B40F4"/>
    <w:rsid w:val="001B7E2C"/>
    <w:rsid w:val="001C5825"/>
    <w:rsid w:val="001C5D7F"/>
    <w:rsid w:val="001D3566"/>
    <w:rsid w:val="001D6F99"/>
    <w:rsid w:val="001E51CC"/>
    <w:rsid w:val="001E5871"/>
    <w:rsid w:val="001E78C5"/>
    <w:rsid w:val="001F0E84"/>
    <w:rsid w:val="001F6832"/>
    <w:rsid w:val="00201F6D"/>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6997"/>
    <w:rsid w:val="0024709A"/>
    <w:rsid w:val="00247B14"/>
    <w:rsid w:val="00247EDB"/>
    <w:rsid w:val="00250DB1"/>
    <w:rsid w:val="00253E5A"/>
    <w:rsid w:val="00254E4B"/>
    <w:rsid w:val="00262160"/>
    <w:rsid w:val="0026474A"/>
    <w:rsid w:val="00272775"/>
    <w:rsid w:val="0027394B"/>
    <w:rsid w:val="00273B57"/>
    <w:rsid w:val="00283958"/>
    <w:rsid w:val="00285810"/>
    <w:rsid w:val="00287F76"/>
    <w:rsid w:val="002956B9"/>
    <w:rsid w:val="00296C60"/>
    <w:rsid w:val="002A4EA4"/>
    <w:rsid w:val="002A71BC"/>
    <w:rsid w:val="002B2157"/>
    <w:rsid w:val="002B49DF"/>
    <w:rsid w:val="002B4A3E"/>
    <w:rsid w:val="002B520A"/>
    <w:rsid w:val="002C32D6"/>
    <w:rsid w:val="002C6491"/>
    <w:rsid w:val="002D1F46"/>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107F"/>
    <w:rsid w:val="00546AE6"/>
    <w:rsid w:val="005513C5"/>
    <w:rsid w:val="0055240C"/>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5A1"/>
    <w:rsid w:val="005E4396"/>
    <w:rsid w:val="005E70A1"/>
    <w:rsid w:val="005E73CE"/>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5AA1"/>
    <w:rsid w:val="00650A14"/>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7A48"/>
    <w:rsid w:val="007009A4"/>
    <w:rsid w:val="00700CFB"/>
    <w:rsid w:val="007011BB"/>
    <w:rsid w:val="007100BD"/>
    <w:rsid w:val="00711C33"/>
    <w:rsid w:val="007153F5"/>
    <w:rsid w:val="00715B0F"/>
    <w:rsid w:val="00721C7D"/>
    <w:rsid w:val="0072231E"/>
    <w:rsid w:val="00723BDD"/>
    <w:rsid w:val="00734C80"/>
    <w:rsid w:val="00735620"/>
    <w:rsid w:val="00740110"/>
    <w:rsid w:val="00744A0F"/>
    <w:rsid w:val="00745291"/>
    <w:rsid w:val="00745D55"/>
    <w:rsid w:val="00757763"/>
    <w:rsid w:val="0076459A"/>
    <w:rsid w:val="00766BBA"/>
    <w:rsid w:val="0076753B"/>
    <w:rsid w:val="00771066"/>
    <w:rsid w:val="007733F5"/>
    <w:rsid w:val="0077345C"/>
    <w:rsid w:val="00775BF5"/>
    <w:rsid w:val="00780A4D"/>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0946"/>
    <w:rsid w:val="0081225F"/>
    <w:rsid w:val="00814331"/>
    <w:rsid w:val="008209B3"/>
    <w:rsid w:val="00821AA6"/>
    <w:rsid w:val="00822425"/>
    <w:rsid w:val="00825948"/>
    <w:rsid w:val="00827FBE"/>
    <w:rsid w:val="00840293"/>
    <w:rsid w:val="008474CD"/>
    <w:rsid w:val="00847D7A"/>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B7BC8"/>
    <w:rsid w:val="008C0CCB"/>
    <w:rsid w:val="008C5A92"/>
    <w:rsid w:val="008D215E"/>
    <w:rsid w:val="008D22AA"/>
    <w:rsid w:val="008D5D01"/>
    <w:rsid w:val="008E0434"/>
    <w:rsid w:val="008E12E9"/>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48D"/>
    <w:rsid w:val="00955333"/>
    <w:rsid w:val="00956C5F"/>
    <w:rsid w:val="009643EB"/>
    <w:rsid w:val="0097368B"/>
    <w:rsid w:val="009778CC"/>
    <w:rsid w:val="00990575"/>
    <w:rsid w:val="009916A1"/>
    <w:rsid w:val="009A0DFE"/>
    <w:rsid w:val="009A4FF8"/>
    <w:rsid w:val="009A514D"/>
    <w:rsid w:val="009A5538"/>
    <w:rsid w:val="009B1FC9"/>
    <w:rsid w:val="009B4578"/>
    <w:rsid w:val="009B56F9"/>
    <w:rsid w:val="009C07D5"/>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5BE3"/>
    <w:rsid w:val="00B25C44"/>
    <w:rsid w:val="00B315EE"/>
    <w:rsid w:val="00B3290E"/>
    <w:rsid w:val="00B33379"/>
    <w:rsid w:val="00B40063"/>
    <w:rsid w:val="00B42DDB"/>
    <w:rsid w:val="00B43B48"/>
    <w:rsid w:val="00B44838"/>
    <w:rsid w:val="00B44D8F"/>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2BEE"/>
    <w:rsid w:val="00C753F7"/>
    <w:rsid w:val="00C75511"/>
    <w:rsid w:val="00C76402"/>
    <w:rsid w:val="00C77231"/>
    <w:rsid w:val="00C81029"/>
    <w:rsid w:val="00C81614"/>
    <w:rsid w:val="00C85C87"/>
    <w:rsid w:val="00C86618"/>
    <w:rsid w:val="00C87824"/>
    <w:rsid w:val="00C91653"/>
    <w:rsid w:val="00CA04B3"/>
    <w:rsid w:val="00CB35BC"/>
    <w:rsid w:val="00CB3D36"/>
    <w:rsid w:val="00CB3E46"/>
    <w:rsid w:val="00CB4AC6"/>
    <w:rsid w:val="00CB5540"/>
    <w:rsid w:val="00CC4FA9"/>
    <w:rsid w:val="00CD1F0F"/>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3629"/>
    <w:rsid w:val="00E24D88"/>
    <w:rsid w:val="00E26542"/>
    <w:rsid w:val="00E269A9"/>
    <w:rsid w:val="00E26CE9"/>
    <w:rsid w:val="00E272FA"/>
    <w:rsid w:val="00E40A90"/>
    <w:rsid w:val="00E40CC8"/>
    <w:rsid w:val="00E44881"/>
    <w:rsid w:val="00E4607C"/>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D5787"/>
    <w:rsid w:val="00EE0F8A"/>
    <w:rsid w:val="00EE15F3"/>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1957"/>
    <w:rsid w:val="00FC2346"/>
    <w:rsid w:val="00FC505E"/>
    <w:rsid w:val="00FC51BC"/>
    <w:rsid w:val="00FC64FB"/>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palmer-germany.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588</Words>
  <Characters>3710</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4290</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creator>info@eventedit.de</dc:creator>
  <lastModifiedBy>Elisa Posteraro</lastModifiedBy>
  <revision>36</revision>
  <lastPrinted>2019-01-10T17:28:00.0000000Z</lastPrinted>
  <dcterms:created xsi:type="dcterms:W3CDTF">2024-08-09T08:25:00.0000000Z</dcterms:created>
  <dcterms:modified xsi:type="dcterms:W3CDTF">2026-01-28T17:56:00.0000000Z</dcterms:modified>
  <keywords>, docId:A218D2326D05A5B3F621F7CA90ED8366</keywords>
</coreProperties>
</file>