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141A"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16383BF3" w14:textId="77777777" w:rsidR="004330C6" w:rsidRPr="00FA141A" w:rsidRDefault="004330C6" w:rsidP="003817D3">
      <w:pPr>
        <w:rPr>
          <w:rFonts w:ascii="Arial" w:hAnsi="Arial"/>
          <w:b/>
          <w:color w:val="000000" w:themeColor="text1"/>
          <w:sz w:val="28"/>
          <w:bdr w:val="none" w:sz="0" w:space="0" w:color="auto" w:frame="1"/>
        </w:rPr>
      </w:pPr>
    </w:p>
    <w:p w14:paraId="0660A2A3" w14:textId="77777777" w:rsidR="004330C6" w:rsidRPr="00FA141A" w:rsidRDefault="004330C6" w:rsidP="003817D3">
      <w:pPr>
        <w:rPr>
          <w:rFonts w:ascii="Arial" w:hAnsi="Arial"/>
          <w:b/>
          <w:color w:val="000000" w:themeColor="text1"/>
          <w:sz w:val="28"/>
          <w:bdr w:val="none" w:sz="0" w:space="0" w:color="auto" w:frame="1"/>
        </w:rPr>
      </w:pPr>
    </w:p>
    <w:p w14:paraId="30DD557C" w14:textId="024B9C41" w:rsidR="00780A4D" w:rsidRPr="00FA141A" w:rsidRDefault="0075799E" w:rsidP="00C028A4">
      <w:pPr>
        <w:rPr>
          <w:rFonts w:ascii="Calibri" w:hAnsi="Calibri" w:cs="Calibri"/>
          <w:b/>
          <w:sz w:val="44"/>
          <w:szCs w:val="44"/>
        </w:rPr>
      </w:pPr>
      <w:r w:rsidRPr="006A2C15">
        <w:rPr>
          <w:rFonts w:ascii="Calibri" w:hAnsi="Calibri"/>
          <w:b/>
          <w:color w:val="000000" w:themeColor="text1"/>
          <w:sz w:val="44"/>
        </w:rPr>
        <w:t xml:space="preserve">All eyes on us – </w:t>
      </w:r>
      <w:r>
        <w:rPr>
          <w:rFonts w:ascii="Calibri" w:hAnsi="Calibri"/>
          <w:b/>
          <w:sz w:val="44"/>
        </w:rPr>
        <w:t>Cameo presenta la próxima generación de tecnología de iluminación en la ISE 2026</w:t>
      </w:r>
    </w:p>
    <w:p w14:paraId="1E1BB173" w14:textId="77777777" w:rsidR="009D2B82" w:rsidRPr="00FA141A" w:rsidRDefault="009D2B82" w:rsidP="00C028A4">
      <w:pPr>
        <w:rPr>
          <w:rFonts w:ascii="Calibri" w:hAnsi="Calibri" w:cs="Calibri"/>
          <w:b/>
          <w:color w:val="0D0D0D" w:themeColor="text1" w:themeTint="F2"/>
          <w:sz w:val="44"/>
          <w:szCs w:val="44"/>
          <w:bdr w:val="none" w:sz="0" w:space="0" w:color="auto" w:frame="1"/>
        </w:rPr>
      </w:pPr>
    </w:p>
    <w:p w14:paraId="1EAB415F" w14:textId="03F54F04" w:rsidR="00E77FCB" w:rsidRPr="00FA141A"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15 de enero de 2026</w:t>
      </w:r>
      <w:r>
        <w:rPr>
          <w:rFonts w:ascii="Calibri" w:hAnsi="Calibri"/>
          <w:b/>
          <w:color w:val="0D0D0D" w:themeColor="text1" w:themeTint="F2"/>
          <w:sz w:val="22"/>
          <w:bdr w:val="none" w:sz="0" w:space="0" w:color="auto" w:frame="1"/>
        </w:rPr>
        <w:t>—. En la edición de este año de la feria Integrated Systems Europe (3-6 de febrero) en Barcelona, Cameo presenta uno de los programas de ferias más amplios de su historia. Con el lema «Todos los ojos puestos en nosotros», la marca de luminotecnia de Adam Hall Group no solo presentará nuevos productos individuales y ampliaciones de serie, sino también series de luminarias completamente nuevas, incluida la gran revelación de la luz Cameo, la más exitosa de toda la cartera. Esta amplia gama de productos irá acompañada de demostraciones de productos en directo en el estand de la feria (pabellón 6, 6M300) y de un amplio programa de exposición abierta en Barcelona.</w:t>
      </w:r>
    </w:p>
    <w:p w14:paraId="63A42983" w14:textId="77777777" w:rsidR="009F6886" w:rsidRPr="00FA141A" w:rsidRDefault="009F6886" w:rsidP="002F20E1">
      <w:pPr>
        <w:rPr>
          <w:rFonts w:ascii="Calibri" w:hAnsi="Calibri" w:cs="Calibri"/>
          <w:b/>
          <w:color w:val="0D0D0D" w:themeColor="text1" w:themeTint="F2"/>
          <w:sz w:val="22"/>
          <w:szCs w:val="22"/>
          <w:bdr w:val="none" w:sz="0" w:space="0" w:color="auto" w:frame="1"/>
        </w:rPr>
      </w:pPr>
    </w:p>
    <w:p w14:paraId="01AB2E42" w14:textId="2B965072" w:rsidR="00DA60A2" w:rsidRPr="00FA141A" w:rsidRDefault="00DA60A2" w:rsidP="00DA60A2">
      <w:pPr>
        <w:pStyle w:val="KeinLeerraum"/>
        <w:rPr>
          <w:rFonts w:ascii="Calibri" w:eastAsia="Times New Roman" w:hAnsi="Calibri" w:cs="Calibri"/>
          <w:b/>
          <w:kern w:val="0"/>
          <w:sz w:val="22"/>
          <w:szCs w:val="22"/>
        </w:rPr>
      </w:pPr>
      <w:r>
        <w:rPr>
          <w:rFonts w:ascii="Calibri" w:hAnsi="Calibri"/>
          <w:b/>
          <w:kern w:val="0"/>
          <w:sz w:val="22"/>
        </w:rPr>
        <w:t>ZENIT® W600 G2: la segunda generación de la superventas</w:t>
      </w:r>
    </w:p>
    <w:p w14:paraId="55229BC1" w14:textId="116DD50B" w:rsidR="009D2B82" w:rsidRPr="00FA141A" w:rsidRDefault="00DA60A2" w:rsidP="00DA60A2">
      <w:pPr>
        <w:pStyle w:val="KeinLeerraum"/>
        <w:rPr>
          <w:rFonts w:ascii="Calibri" w:hAnsi="Calibri" w:cs="Calibri"/>
          <w:b/>
          <w:bCs/>
          <w:color w:val="000000" w:themeColor="text1"/>
          <w:sz w:val="22"/>
          <w:szCs w:val="22"/>
        </w:rPr>
      </w:pPr>
      <w:r>
        <w:rPr>
          <w:rFonts w:ascii="Calibri" w:hAnsi="Calibri"/>
          <w:kern w:val="0"/>
          <w:sz w:val="22"/>
        </w:rPr>
        <w:t>Con la luz wash ZENIT® W600 G2 IP65 LED, Cameo presenta la sucesora de su luminaria de más éxito. Basada en un motor LED de 660 W con 40 × 50 W LED RGBALC, una potencia de 32.000 lúmenes y la tecnología XColour™, la ZENIT® W600 G2 ofrece colores muy precisos, una excelente reproducción cromática (CRI 98/TLCI 95) y amplias posibilidades creativas, como el control vertical de segmentos LED, la agrupación sin fisuras y el SnapMag® FX de escarcha electrónica para transiciones rápidas en el rango 18°-54°. A pesar de su potencia significativamente mayor, la luz IP65 pesa solo 12,9 kg y también es compatible con los filtros y accesorios de la serie G1. También puede funcionar en modo heredado, de forma que los dispositivos G1 y G2 pueden utilizarse juntos con colores, aspecto y salida idénticos.</w:t>
      </w:r>
    </w:p>
    <w:p w14:paraId="23060FDF" w14:textId="77777777" w:rsidR="00DA60A2" w:rsidRPr="00FA141A" w:rsidRDefault="00DA60A2" w:rsidP="00272398">
      <w:pPr>
        <w:pStyle w:val="KeinLeerraum"/>
        <w:rPr>
          <w:rFonts w:ascii="Calibri" w:hAnsi="Calibri" w:cs="Calibri"/>
          <w:b/>
          <w:bCs/>
          <w:color w:val="000000" w:themeColor="text1"/>
          <w:sz w:val="22"/>
          <w:szCs w:val="22"/>
        </w:rPr>
      </w:pPr>
    </w:p>
    <w:p w14:paraId="459F22A0" w14:textId="493683DF" w:rsidR="00CB634F" w:rsidRPr="00FA141A" w:rsidRDefault="00CB634F" w:rsidP="00CB634F">
      <w:pPr>
        <w:pStyle w:val="KeinLeerraum"/>
        <w:rPr>
          <w:rFonts w:ascii="Calibri" w:hAnsi="Calibri" w:cs="Calibri"/>
          <w:b/>
          <w:bCs/>
          <w:color w:val="000000" w:themeColor="text1"/>
          <w:sz w:val="22"/>
          <w:szCs w:val="22"/>
        </w:rPr>
      </w:pPr>
      <w:r>
        <w:rPr>
          <w:rFonts w:ascii="Calibri" w:hAnsi="Calibri"/>
          <w:b/>
          <w:color w:val="000000" w:themeColor="text1"/>
          <w:sz w:val="22"/>
        </w:rPr>
        <w:t>OTOS® Linear: nuevas dimensiones para los diseños de luces móviles</w:t>
      </w:r>
    </w:p>
    <w:p w14:paraId="059E7146" w14:textId="1389F4C7" w:rsidR="00CB634F" w:rsidRPr="00FA141A" w:rsidRDefault="00CB634F" w:rsidP="00CB634F">
      <w:pPr>
        <w:pStyle w:val="KeinLeerraum"/>
        <w:rPr>
          <w:rFonts w:ascii="Calibri" w:hAnsi="Calibri" w:cs="Calibri"/>
          <w:color w:val="000000" w:themeColor="text1"/>
          <w:sz w:val="22"/>
          <w:szCs w:val="22"/>
        </w:rPr>
      </w:pPr>
      <w:r>
        <w:rPr>
          <w:rFonts w:ascii="Calibri" w:hAnsi="Calibri"/>
          <w:color w:val="000000" w:themeColor="text1"/>
          <w:sz w:val="22"/>
        </w:rPr>
        <w:t>Cameo amplía la familia OTOS® con dos modelos de barra móvil IP65. La OTOS® L16 es una potente barra LED de 720 W con 16 × 50 W LED RGBL, 9.300 lm de potencia, dos segmentos de zoom controlables independientemente, rango de inclinación motorizado de 208° y tira FX integrada: ideal para haces precisos, zoom dinámico y efectos de racimo sin fisuras. La OTOS® LC12 combina doce cabezas móviles RGBL de 50 W, con inclinación y función de zoom individuales, que crean espectaculares efectos de curvas lineales para conseguir conjuntos de haces cinéticos: perfectos para producciones en directo exigentes tanto en interiores como en exteriores.</w:t>
      </w:r>
    </w:p>
    <w:p w14:paraId="5A3B34C1" w14:textId="77777777" w:rsidR="00CB634F" w:rsidRPr="00FA141A" w:rsidRDefault="00CB634F" w:rsidP="00272398">
      <w:pPr>
        <w:pStyle w:val="KeinLeerraum"/>
        <w:rPr>
          <w:rFonts w:ascii="Calibri" w:hAnsi="Calibri" w:cs="Calibri"/>
          <w:b/>
          <w:bCs/>
          <w:color w:val="000000" w:themeColor="text1"/>
          <w:sz w:val="22"/>
          <w:szCs w:val="22"/>
        </w:rPr>
      </w:pPr>
    </w:p>
    <w:p w14:paraId="205BA57B" w14:textId="573BCD10" w:rsidR="00EE6038" w:rsidRPr="00FA141A" w:rsidRDefault="00EE6038" w:rsidP="00272398">
      <w:pPr>
        <w:pStyle w:val="KeinLeerraum"/>
        <w:rPr>
          <w:rFonts w:ascii="Calibri" w:hAnsi="Calibri" w:cs="Calibri"/>
          <w:b/>
          <w:bCs/>
          <w:color w:val="000000" w:themeColor="text1"/>
          <w:sz w:val="22"/>
          <w:szCs w:val="22"/>
        </w:rPr>
      </w:pPr>
      <w:r>
        <w:rPr>
          <w:rFonts w:ascii="Calibri" w:hAnsi="Calibri"/>
          <w:b/>
          <w:color w:val="000000" w:themeColor="text1"/>
          <w:sz w:val="22"/>
        </w:rPr>
        <w:t>Serie ZIYA®: PAR zoom IP65 para giras y eventos al aire libre</w:t>
      </w:r>
    </w:p>
    <w:p w14:paraId="01BA5ED6" w14:textId="5E071DF1" w:rsidR="00EE6038" w:rsidRPr="00FA141A" w:rsidRDefault="00EE6038" w:rsidP="00272398">
      <w:pPr>
        <w:pStyle w:val="KeinLeerraum"/>
        <w:rPr>
          <w:rFonts w:ascii="Calibri" w:hAnsi="Calibri" w:cs="Calibri"/>
          <w:color w:val="000000" w:themeColor="text1"/>
          <w:sz w:val="22"/>
          <w:szCs w:val="22"/>
        </w:rPr>
      </w:pPr>
      <w:r>
        <w:rPr>
          <w:rFonts w:ascii="Calibri" w:hAnsi="Calibri"/>
          <w:color w:val="000000" w:themeColor="text1"/>
          <w:sz w:val="22"/>
        </w:rPr>
        <w:t xml:space="preserve">Con la nueva serie ZIYA®, Cameo presenta una gama versátil de PAR zoom LED con certificación IP65, optimizados para aplicaciones de iluminación en giras, teatros o empresas, según el modelo. Los modelos ZIYA® 200 —disponibles en versión RGBL con 4 x 60 W LED o en versión COB con mezcla de colores RGBALC y lente Fresnel— abarcan aplicaciones compactas y permiten combinaciones flexibles desde haces muy enfocados hasta efectos wash suaves y homogéneos. Además, los modelos ZIYA® 400 y ZIYA® 400 COB de </w:t>
      </w:r>
      <w:r>
        <w:rPr>
          <w:rFonts w:ascii="Calibri" w:hAnsi="Calibri"/>
          <w:color w:val="000000" w:themeColor="text1"/>
          <w:sz w:val="22"/>
        </w:rPr>
        <w:lastRenderedPageBreak/>
        <w:t>mayor tamaño —con 7 x 60 W LED o motor COB— ofrecen más potencia y reservas para grandes escenarios y giras. Todos los modelos incorporan un zoom silencioso motorizado, carcasas robustas IP65 y el sistema de montaje integrado SPIN16®.</w:t>
      </w:r>
    </w:p>
    <w:p w14:paraId="563BA0A6" w14:textId="77777777" w:rsidR="00EE6038" w:rsidRPr="00FA141A" w:rsidRDefault="00EE6038" w:rsidP="00272398">
      <w:pPr>
        <w:pStyle w:val="KeinLeerraum"/>
        <w:rPr>
          <w:rFonts w:ascii="Calibri" w:hAnsi="Calibri" w:cs="Calibri"/>
          <w:b/>
          <w:bCs/>
          <w:color w:val="000000" w:themeColor="text1"/>
          <w:sz w:val="22"/>
          <w:szCs w:val="22"/>
        </w:rPr>
      </w:pPr>
    </w:p>
    <w:p w14:paraId="2AC3D595" w14:textId="3E5D2F3E" w:rsidR="00EE6038" w:rsidRPr="00FA141A" w:rsidRDefault="00D3468C" w:rsidP="00272398">
      <w:pPr>
        <w:pStyle w:val="KeinLeerraum"/>
        <w:rPr>
          <w:rFonts w:ascii="Calibri" w:hAnsi="Calibri" w:cs="Calibri"/>
          <w:b/>
          <w:bCs/>
          <w:color w:val="000000" w:themeColor="text1"/>
          <w:sz w:val="22"/>
          <w:szCs w:val="22"/>
        </w:rPr>
      </w:pPr>
      <w:r>
        <w:rPr>
          <w:rFonts w:ascii="Calibri" w:hAnsi="Calibri"/>
          <w:b/>
          <w:color w:val="000000" w:themeColor="text1"/>
          <w:sz w:val="22"/>
        </w:rPr>
        <w:t>Serie SUNO®: nuevas cegadoras IP65 RGBAWW para giras y mucho más</w:t>
      </w:r>
    </w:p>
    <w:p w14:paraId="3EFBBC2F" w14:textId="79A7D5D0" w:rsidR="00EE6038" w:rsidRPr="00FA141A" w:rsidRDefault="00BB0790" w:rsidP="00272398">
      <w:pPr>
        <w:pStyle w:val="KeinLeerraum"/>
        <w:rPr>
          <w:rFonts w:ascii="Calibri" w:hAnsi="Calibri" w:cs="Calibri"/>
          <w:color w:val="000000" w:themeColor="text1"/>
          <w:sz w:val="22"/>
          <w:szCs w:val="22"/>
        </w:rPr>
      </w:pPr>
      <w:r>
        <w:rPr>
          <w:rFonts w:ascii="Calibri" w:hAnsi="Calibri"/>
          <w:color w:val="000000" w:themeColor="text1"/>
          <w:sz w:val="22"/>
        </w:rPr>
        <w:t>Con la nueva serie SUNO®, Cameo amplía su cartera con potentes cegadoras RGBAWW en configuraciones de 2 y 4 luces para aplicaciones exigentes en giras y exteriores. Con una potencia LED de hasta 1.200 W, modo de refuerzo integrado para más de 55.000 lúmenes y un auténtico aspecto PAR-36-DWE, las SUNO garantizan un potente rendimiento cegador, incluso en condiciones exteriores exigentes gracias a la carcasa IP65.</w:t>
      </w:r>
    </w:p>
    <w:p w14:paraId="68A7E06C" w14:textId="77777777" w:rsidR="00EA00D2" w:rsidRPr="00FA141A" w:rsidRDefault="00EA00D2" w:rsidP="00272398">
      <w:pPr>
        <w:pStyle w:val="KeinLeerraum"/>
        <w:rPr>
          <w:rFonts w:ascii="Calibri" w:hAnsi="Calibri" w:cs="Calibri"/>
          <w:color w:val="000000" w:themeColor="text1"/>
          <w:sz w:val="22"/>
          <w:szCs w:val="22"/>
        </w:rPr>
      </w:pPr>
    </w:p>
    <w:p w14:paraId="08E6393B" w14:textId="734B2116" w:rsidR="00EA00D2" w:rsidRPr="006A2C15" w:rsidRDefault="00EA00D2" w:rsidP="00EA00D2">
      <w:pPr>
        <w:pStyle w:val="KeinLeerraum"/>
        <w:rPr>
          <w:rFonts w:ascii="Calibri" w:hAnsi="Calibri" w:cs="Calibri"/>
          <w:b/>
          <w:bCs/>
          <w:color w:val="000000" w:themeColor="text1"/>
          <w:sz w:val="22"/>
          <w:szCs w:val="22"/>
        </w:rPr>
      </w:pPr>
      <w:r>
        <w:rPr>
          <w:rFonts w:ascii="Calibri" w:hAnsi="Calibri"/>
          <w:b/>
          <w:color w:val="000000" w:themeColor="text1"/>
          <w:sz w:val="22"/>
        </w:rPr>
        <w:t xml:space="preserve">OPUS® X4 IP: </w:t>
      </w:r>
      <w:r w:rsidRPr="006A2C15">
        <w:rPr>
          <w:rFonts w:ascii="Calibri" w:hAnsi="Calibri"/>
          <w:b/>
          <w:color w:val="000000" w:themeColor="text1"/>
          <w:sz w:val="22"/>
        </w:rPr>
        <w:t>High-Power-Performance meets IP65</w:t>
      </w:r>
    </w:p>
    <w:p w14:paraId="0214F913" w14:textId="170BD207" w:rsidR="00EA00D2" w:rsidRPr="00FA141A" w:rsidRDefault="00D7212C" w:rsidP="00873F37">
      <w:pPr>
        <w:pStyle w:val="KeinLeerraum"/>
        <w:rPr>
          <w:rFonts w:ascii="Calibri" w:hAnsi="Calibri" w:cs="Calibri"/>
          <w:color w:val="000000" w:themeColor="text1"/>
          <w:sz w:val="22"/>
          <w:szCs w:val="22"/>
        </w:rPr>
      </w:pPr>
      <w:r>
        <w:rPr>
          <w:rFonts w:ascii="Calibri" w:hAnsi="Calibri"/>
          <w:color w:val="000000" w:themeColor="text1"/>
          <w:sz w:val="22"/>
        </w:rPr>
        <w:t xml:space="preserve">La OPUS® X4 IP es el primer modelo IP65 de la serie OPUS® y no hace concesiones en cuanto a rendimiento, manejo ni tamaño. La cabeza móvil de foco y perfil se basa en un motor LED de 1.400 W con una potencia de 50.000 lúmenes y ofrece el mismo gran rango de zoom de 5° a 55°, así como las conocidas funciones de color y efecto de la popular OPUS® X4. </w:t>
      </w:r>
    </w:p>
    <w:p w14:paraId="77FC03EF" w14:textId="77777777" w:rsidR="00EE6038" w:rsidRPr="00FA141A" w:rsidRDefault="00EE6038" w:rsidP="00272398">
      <w:pPr>
        <w:pStyle w:val="KeinLeerraum"/>
        <w:rPr>
          <w:rFonts w:ascii="Calibri" w:hAnsi="Calibri" w:cs="Calibri"/>
          <w:color w:val="000000" w:themeColor="text1"/>
          <w:sz w:val="22"/>
          <w:szCs w:val="22"/>
        </w:rPr>
      </w:pPr>
    </w:p>
    <w:p w14:paraId="5804040C" w14:textId="14AD6922" w:rsidR="00242713" w:rsidRPr="00FA141A" w:rsidRDefault="00CE5F13" w:rsidP="00272398">
      <w:pPr>
        <w:pStyle w:val="KeinLeerraum"/>
        <w:rPr>
          <w:rFonts w:ascii="Calibri" w:hAnsi="Calibri" w:cs="Calibri"/>
          <w:b/>
          <w:bCs/>
          <w:color w:val="000000" w:themeColor="text1"/>
          <w:sz w:val="22"/>
          <w:szCs w:val="22"/>
        </w:rPr>
      </w:pPr>
      <w:r>
        <w:rPr>
          <w:rFonts w:ascii="Calibri" w:hAnsi="Calibri"/>
          <w:b/>
          <w:color w:val="000000" w:themeColor="text1"/>
          <w:sz w:val="22"/>
        </w:rPr>
        <w:t>NUEVO: demostraciones de productos en directo en el estand de la feria</w:t>
      </w:r>
    </w:p>
    <w:p w14:paraId="487A7BF9" w14:textId="70F4139F" w:rsidR="00242713" w:rsidRPr="00FA141A" w:rsidRDefault="00242713" w:rsidP="00272398">
      <w:pPr>
        <w:pStyle w:val="KeinLeerraum"/>
        <w:rPr>
          <w:rFonts w:ascii="Calibri" w:hAnsi="Calibri" w:cs="Calibri"/>
          <w:color w:val="000000" w:themeColor="text1"/>
          <w:sz w:val="22"/>
          <w:szCs w:val="22"/>
        </w:rPr>
      </w:pPr>
      <w:r>
        <w:rPr>
          <w:rFonts w:ascii="Calibri" w:hAnsi="Calibri"/>
          <w:color w:val="000000" w:themeColor="text1"/>
          <w:sz w:val="22"/>
        </w:rPr>
        <w:t>Por primera vez en la ISE 2026, Cameo ofrece demostraciones diarias de productos en directo en su estand de la feria. Las nuevas series y productos se mostrarán en directo en espectáculos cortos y dinámicos. Las demostraciones ofrecerán a los visitantes de la feria una visión sólida y práctica del rendimiento de la actual generación Cameo, así como proporcionarán una comparación directa de las familias de productos individuales y de cómo interactúan entre sí.</w:t>
      </w:r>
    </w:p>
    <w:p w14:paraId="0B5B69B2" w14:textId="77777777" w:rsidR="00242713" w:rsidRPr="00FA141A" w:rsidRDefault="00242713" w:rsidP="00272398">
      <w:pPr>
        <w:pStyle w:val="KeinLeerraum"/>
        <w:rPr>
          <w:rFonts w:ascii="Calibri" w:hAnsi="Calibri" w:cs="Calibri"/>
          <w:color w:val="000000" w:themeColor="text1"/>
          <w:sz w:val="22"/>
          <w:szCs w:val="22"/>
        </w:rPr>
      </w:pPr>
    </w:p>
    <w:p w14:paraId="4D39F1C0" w14:textId="6C894499" w:rsidR="003742CE" w:rsidRPr="00FA141A" w:rsidRDefault="003742CE" w:rsidP="00272398">
      <w:pPr>
        <w:pStyle w:val="KeinLeerraum"/>
        <w:rPr>
          <w:rFonts w:ascii="Calibri" w:hAnsi="Calibri" w:cs="Calibri"/>
          <w:b/>
          <w:bCs/>
          <w:color w:val="000000" w:themeColor="text1"/>
          <w:sz w:val="22"/>
          <w:szCs w:val="22"/>
        </w:rPr>
      </w:pPr>
      <w:r>
        <w:rPr>
          <w:rFonts w:ascii="Calibri" w:hAnsi="Calibri"/>
          <w:b/>
          <w:color w:val="000000" w:themeColor="text1"/>
          <w:sz w:val="22"/>
        </w:rPr>
        <w:t>Sala de exposición abierta en Barcelona con servicio de lanzadera gratuito</w:t>
      </w:r>
    </w:p>
    <w:p w14:paraId="16077D4A" w14:textId="1D9B27C0" w:rsidR="003742CE" w:rsidRPr="00FA141A" w:rsidRDefault="003742CE" w:rsidP="00272398">
      <w:pPr>
        <w:pStyle w:val="KeinLeerraum"/>
        <w:rPr>
          <w:rFonts w:ascii="Calibri" w:hAnsi="Calibri" w:cs="Calibri"/>
          <w:color w:val="000000" w:themeColor="text1"/>
          <w:sz w:val="22"/>
          <w:szCs w:val="22"/>
        </w:rPr>
      </w:pPr>
      <w:r>
        <w:rPr>
          <w:rFonts w:ascii="Calibri" w:hAnsi="Calibri"/>
          <w:color w:val="000000" w:themeColor="text1"/>
          <w:sz w:val="22"/>
        </w:rPr>
        <w:t>Este año, Adam Hall Group vuelve a abrir su sala de exposición en Barcelona durante la ISE. El miércoles y el jueves, un servicio de lanzadera cómodo y gratuito llevará a los interesados desde el recinto ferial hasta la sala de exposición, donde tendrán lugar presentaciones y demostraciones exclusivas a partir de las 17:15 h. Los visitantes pueden reunirse en dos puntos de encuentro —el estand 6M300 de Cameo en el pabellón 6 o el estand 7B700 de LD Systems en el pabellón 7— a partir de las 16:00 h. La sala de exposición también estará abierta de martes a viernes de 08:30 h a 18:00 h.</w:t>
      </w:r>
    </w:p>
    <w:p w14:paraId="60634E9C" w14:textId="77777777" w:rsidR="003742CE" w:rsidRPr="00FA141A" w:rsidRDefault="003742CE" w:rsidP="00272398">
      <w:pPr>
        <w:pStyle w:val="KeinLeerraum"/>
        <w:rPr>
          <w:rFonts w:ascii="Calibri" w:hAnsi="Calibri" w:cs="Calibri"/>
          <w:b/>
          <w:bCs/>
          <w:color w:val="000000" w:themeColor="text1"/>
          <w:sz w:val="22"/>
          <w:szCs w:val="22"/>
        </w:rPr>
      </w:pPr>
    </w:p>
    <w:p w14:paraId="56359EFB" w14:textId="0A8D4B15" w:rsidR="00272398" w:rsidRPr="00FA141A" w:rsidRDefault="009B1FC9" w:rsidP="00272398">
      <w:pPr>
        <w:pStyle w:val="KeinLeerraum"/>
        <w:rPr>
          <w:rFonts w:ascii="Calibri" w:hAnsi="Calibri" w:cs="Calibri"/>
          <w:b/>
          <w:bCs/>
          <w:color w:val="000000" w:themeColor="text1"/>
          <w:sz w:val="22"/>
          <w:szCs w:val="22"/>
        </w:rPr>
      </w:pPr>
      <w:r>
        <w:rPr>
          <w:rFonts w:ascii="Calibri" w:hAnsi="Calibri"/>
          <w:b/>
          <w:color w:val="000000" w:themeColor="text1"/>
          <w:sz w:val="22"/>
        </w:rPr>
        <w:t xml:space="preserve">Cameo </w:t>
      </w:r>
      <w:r>
        <w:rPr>
          <w:rFonts w:ascii="Calibri" w:hAnsi="Calibri"/>
          <w:b/>
          <w:color w:val="0D0D0D" w:themeColor="text1" w:themeTint="F2"/>
          <w:sz w:val="22"/>
        </w:rPr>
        <w:t>en la ISE 2026:</w:t>
      </w:r>
    </w:p>
    <w:p w14:paraId="6220E616" w14:textId="73AEB8FF" w:rsidR="00272398" w:rsidRPr="00FA141A" w:rsidRDefault="00DA60A2" w:rsidP="00272398">
      <w:pPr>
        <w:pStyle w:val="KeinLeerraum"/>
        <w:rPr>
          <w:rFonts w:ascii="Calibri" w:hAnsi="Calibri" w:cs="Calibri"/>
          <w:color w:val="FF0000"/>
          <w:sz w:val="22"/>
          <w:szCs w:val="22"/>
        </w:rPr>
      </w:pPr>
      <w:r>
        <w:rPr>
          <w:rFonts w:ascii="Calibri" w:hAnsi="Calibri"/>
          <w:color w:val="FF0000"/>
          <w:sz w:val="22"/>
        </w:rPr>
        <w:t>Pabellón 6, estand 6M300</w:t>
      </w:r>
    </w:p>
    <w:p w14:paraId="2327D135" w14:textId="77777777" w:rsidR="00272398" w:rsidRPr="00FA141A" w:rsidRDefault="00272398" w:rsidP="00272398">
      <w:pPr>
        <w:pStyle w:val="KeinLeerraum"/>
        <w:rPr>
          <w:rFonts w:ascii="Calibri" w:hAnsi="Calibri" w:cs="Calibri"/>
          <w:color w:val="0D0D0D" w:themeColor="text1" w:themeTint="F2"/>
          <w:sz w:val="22"/>
          <w:szCs w:val="22"/>
        </w:rPr>
      </w:pPr>
    </w:p>
    <w:p w14:paraId="4991915B" w14:textId="0390DCFF" w:rsidR="00272398" w:rsidRPr="006A2C15" w:rsidRDefault="00272398" w:rsidP="00272398">
      <w:pPr>
        <w:pStyle w:val="KeinLeerraum"/>
        <w:rPr>
          <w:rFonts w:ascii="Calibri" w:hAnsi="Calibri" w:cs="Calibri"/>
          <w:color w:val="000000" w:themeColor="text1"/>
          <w:sz w:val="22"/>
          <w:szCs w:val="22"/>
        </w:rPr>
      </w:pPr>
      <w:r w:rsidRPr="006A2C15">
        <w:rPr>
          <w:rFonts w:ascii="Calibri" w:hAnsi="Calibri"/>
          <w:color w:val="000000" w:themeColor="text1"/>
          <w:sz w:val="22"/>
        </w:rPr>
        <w:t>#Cameo  #ForLumenBeings  #ProLighting  #EventTech  #ExperienceEventTechnology</w:t>
      </w:r>
    </w:p>
    <w:p w14:paraId="70822540" w14:textId="77777777" w:rsidR="00272398" w:rsidRPr="006A2C15" w:rsidRDefault="00272398" w:rsidP="00272398">
      <w:pPr>
        <w:pStyle w:val="KeinLeerraum"/>
        <w:rPr>
          <w:rFonts w:ascii="Calibri" w:hAnsi="Calibri" w:cs="Calibri"/>
          <w:color w:val="000000" w:themeColor="text1"/>
          <w:sz w:val="22"/>
          <w:szCs w:val="22"/>
        </w:rPr>
      </w:pPr>
    </w:p>
    <w:p w14:paraId="4BDBF63F" w14:textId="77777777" w:rsidR="00272398" w:rsidRPr="006A2C15" w:rsidRDefault="00272398" w:rsidP="00272398">
      <w:pPr>
        <w:rPr>
          <w:rFonts w:ascii="Calibri" w:hAnsi="Calibri" w:cs="Calibri"/>
          <w:b/>
          <w:color w:val="000000" w:themeColor="text1"/>
          <w:sz w:val="22"/>
          <w:szCs w:val="22"/>
        </w:rPr>
      </w:pPr>
      <w:r w:rsidRPr="006A2C15">
        <w:rPr>
          <w:rFonts w:ascii="Calibri" w:hAnsi="Calibri"/>
          <w:b/>
          <w:color w:val="000000" w:themeColor="text1"/>
          <w:sz w:val="22"/>
        </w:rPr>
        <w:t xml:space="preserve">Más información: </w:t>
      </w:r>
    </w:p>
    <w:p w14:paraId="50829B3D" w14:textId="21487CD1" w:rsidR="00272398" w:rsidRPr="006A2C15" w:rsidRDefault="00DA60A2" w:rsidP="00272398">
      <w:pPr>
        <w:rPr>
          <w:rStyle w:val="Hyperlink"/>
          <w:rFonts w:ascii="Calibri" w:hAnsi="Calibri" w:cs="Calibri"/>
          <w:color w:val="000000" w:themeColor="text1"/>
          <w:sz w:val="22"/>
          <w:szCs w:val="22"/>
        </w:rPr>
      </w:pPr>
      <w:hyperlink r:id="rId10" w:history="1">
        <w:r w:rsidRPr="006A2C15">
          <w:rPr>
            <w:rStyle w:val="Hyperlink"/>
            <w:rFonts w:ascii="Calibri" w:hAnsi="Calibri"/>
            <w:color w:val="000000" w:themeColor="text1"/>
            <w:sz w:val="22"/>
          </w:rPr>
          <w:t>iseurope.org</w:t>
        </w:r>
      </w:hyperlink>
    </w:p>
    <w:p w14:paraId="3D8A5085" w14:textId="36B75328" w:rsidR="00272398" w:rsidRPr="006A2C15" w:rsidRDefault="00272398" w:rsidP="00272398">
      <w:pPr>
        <w:rPr>
          <w:rStyle w:val="Hyperlink"/>
          <w:rFonts w:ascii="Calibri" w:hAnsi="Calibri" w:cs="Calibri"/>
          <w:color w:val="000000" w:themeColor="text1"/>
          <w:sz w:val="22"/>
          <w:szCs w:val="22"/>
        </w:rPr>
      </w:pPr>
      <w:hyperlink r:id="rId11" w:history="1">
        <w:r w:rsidRPr="006A2C15">
          <w:rPr>
            <w:rStyle w:val="Hyperlink"/>
            <w:rFonts w:ascii="Calibri" w:hAnsi="Calibri"/>
            <w:color w:val="000000" w:themeColor="text1"/>
            <w:sz w:val="22"/>
          </w:rPr>
          <w:t>cameolight.com</w:t>
        </w:r>
      </w:hyperlink>
    </w:p>
    <w:p w14:paraId="743172BB" w14:textId="77777777" w:rsidR="00272398" w:rsidRPr="006A2C15" w:rsidRDefault="00272398" w:rsidP="00272398">
      <w:pPr>
        <w:rPr>
          <w:rFonts w:ascii="Calibri" w:hAnsi="Calibri" w:cs="Calibri"/>
          <w:b/>
          <w:color w:val="000000" w:themeColor="text1"/>
          <w:sz w:val="22"/>
          <w:szCs w:val="22"/>
        </w:rPr>
      </w:pPr>
    </w:p>
    <w:p w14:paraId="280B7622" w14:textId="77777777" w:rsidR="00272398" w:rsidRPr="006A2C15" w:rsidRDefault="00272398" w:rsidP="00272398">
      <w:pPr>
        <w:rPr>
          <w:rStyle w:val="Hyperlink"/>
          <w:rFonts w:ascii="Calibri" w:eastAsia="Arial" w:hAnsi="Calibri" w:cs="Calibri"/>
          <w:b/>
          <w:bCs/>
          <w:color w:val="000000" w:themeColor="text1"/>
          <w:sz w:val="22"/>
          <w:szCs w:val="22"/>
          <w:u w:val="none"/>
        </w:rPr>
      </w:pPr>
      <w:hyperlink r:id="rId12" w:history="1">
        <w:r w:rsidRPr="006A2C15">
          <w:rPr>
            <w:rStyle w:val="Hyperlink"/>
            <w:rFonts w:ascii="Calibri" w:hAnsi="Calibri"/>
            <w:color w:val="000000" w:themeColor="text1"/>
            <w:sz w:val="22"/>
          </w:rPr>
          <w:t>adamhall.com</w:t>
        </w:r>
      </w:hyperlink>
      <w:r w:rsidRPr="006A2C15">
        <w:rPr>
          <w:rFonts w:ascii="Calibri" w:hAnsi="Calibri"/>
          <w:color w:val="000000" w:themeColor="text1"/>
          <w:sz w:val="22"/>
          <w:szCs w:val="22"/>
          <w:u w:val="single"/>
        </w:rPr>
        <w:br/>
      </w:r>
      <w:hyperlink r:id="rId13" w:history="1">
        <w:r w:rsidRPr="006A2C15">
          <w:rPr>
            <w:rStyle w:val="Hyperlink"/>
            <w:rFonts w:ascii="Calibri" w:hAnsi="Calibri"/>
            <w:color w:val="000000" w:themeColor="text1"/>
            <w:sz w:val="22"/>
          </w:rPr>
          <w:t>blog.adamhall.com</w:t>
        </w:r>
      </w:hyperlink>
    </w:p>
    <w:p w14:paraId="553130F3" w14:textId="77777777" w:rsidR="00035C36" w:rsidRPr="00187921" w:rsidRDefault="00035C36" w:rsidP="004330C6">
      <w:pPr>
        <w:rPr>
          <w:rStyle w:val="Hyperlink"/>
          <w:rFonts w:ascii="Calibri" w:eastAsia="Arial" w:hAnsi="Calibri"/>
          <w:color w:val="00B0F0"/>
          <w:sz w:val="22"/>
        </w:rPr>
      </w:pPr>
    </w:p>
    <w:p w14:paraId="31C6F633" w14:textId="77777777" w:rsidR="006A2C15" w:rsidRDefault="006A2C15" w:rsidP="006A2C15">
      <w:pPr>
        <w:pStyle w:val="KeinLeerraum"/>
        <w:rPr>
          <w:rFonts w:ascii="Calibri" w:hAnsi="Calibri"/>
          <w:b/>
          <w:color w:val="808080"/>
          <w:sz w:val="18"/>
        </w:rPr>
      </w:pPr>
    </w:p>
    <w:p w14:paraId="6F1EB3B3" w14:textId="36F00A46" w:rsidR="006A2C15" w:rsidRPr="00766A18" w:rsidRDefault="006A2C15" w:rsidP="006A2C15">
      <w:pPr>
        <w:pStyle w:val="KeinLeerraum"/>
        <w:rPr>
          <w:rFonts w:ascii="Calibri" w:hAnsi="Calibri"/>
          <w:b/>
          <w:color w:val="808080"/>
          <w:sz w:val="18"/>
        </w:rPr>
      </w:pPr>
      <w:r>
        <w:rPr>
          <w:rFonts w:ascii="Calibri" w:hAnsi="Calibri"/>
          <w:b/>
          <w:color w:val="808080"/>
          <w:sz w:val="18"/>
        </w:rPr>
        <w:t>Acerca de Adam Hall Group</w:t>
      </w:r>
    </w:p>
    <w:p w14:paraId="07E0BA2A" w14:textId="77777777" w:rsidR="006A2C15" w:rsidRPr="00D31732" w:rsidRDefault="006A2C15" w:rsidP="006A2C15">
      <w:pPr>
        <w:pStyle w:val="KeinLeerraum"/>
        <w:rPr>
          <w:rFonts w:ascii="Calibri" w:hAnsi="Calibri"/>
          <w:color w:val="808080"/>
          <w:sz w:val="18"/>
        </w:rPr>
      </w:pPr>
      <w:r>
        <w:rPr>
          <w:rFonts w:ascii="Calibri" w:hAnsi="Calibri"/>
          <w:color w:val="808080"/>
          <w:sz w:val="18"/>
        </w:rPr>
        <w:t xml:space="preserve">Adam Hall Group es un fabricante y distribuidor alemán líder que ofrece soluciones de tecnología de eventos para socios comerciales </w:t>
      </w:r>
      <w:r>
        <w:rPr>
          <w:rFonts w:ascii="Calibri" w:hAnsi="Calibri"/>
          <w:color w:val="808080"/>
          <w:sz w:val="18"/>
        </w:rPr>
        <w:lastRenderedPageBreak/>
        <w:t xml:space="preserve">de todo el mundo. Su público objetivo incluye, entre otros, a minoristas, distribuidores B2B, empresas de alquiler y organización de eventos, estudios de televisión, integradores audiovisuales y de sistemas, empresas tanto privadas como públicas y fabricantes de flightcases industriales. Con sus marcas </w:t>
      </w:r>
      <w:r w:rsidRPr="00766A18">
        <w:rPr>
          <w:rFonts w:ascii="Calibri" w:hAnsi="Calibri"/>
          <w:b/>
          <w:color w:val="808080"/>
          <w:sz w:val="18"/>
        </w:rPr>
        <w:t>LD Systems®, Cameo®, Gravity®, Defender®, Palmer® y Adam Hall®</w:t>
      </w:r>
      <w:r>
        <w:rPr>
          <w:rFonts w:ascii="Calibri" w:hAnsi="Calibri"/>
          <w:color w:val="808080"/>
          <w:sz w:val="18"/>
        </w:rPr>
        <w:t xml:space="preserve">, la empresa distribuye una amplia gama de equipos profesionales de audio e iluminación, así como equipamiento para escenario y hardware para flightcases. Desde su fundación en 1975, Adam Hall Group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Group ya cuenta con toda una serie de reconocimientos internacionales concedidos por sus desarrollos innovadores y diseños pioneros por parte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reconocido recientemente por ello con el codiciado premio German Design Award. Más información sobre Adam Hall Group en el sitio web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141A" w:rsidRDefault="000C2D39" w:rsidP="00B21639">
      <w:pPr>
        <w:pStyle w:val="KeinLeerraum"/>
        <w:rPr>
          <w:rFonts w:ascii="Arial" w:hAnsi="Arial"/>
          <w:sz w:val="20"/>
        </w:rPr>
      </w:pPr>
    </w:p>
    <w:sectPr w:rsidR="000C2D39" w:rsidRPr="00FA141A"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A2532" w14:textId="77777777" w:rsidR="00287D73" w:rsidRDefault="00287D73" w:rsidP="004330C6">
      <w:r>
        <w:separator/>
      </w:r>
    </w:p>
  </w:endnote>
  <w:endnote w:type="continuationSeparator" w:id="0">
    <w:p w14:paraId="73D8D7AC" w14:textId="77777777" w:rsidR="00287D73" w:rsidRDefault="00287D73" w:rsidP="004330C6">
      <w:r>
        <w:continuationSeparator/>
      </w:r>
    </w:p>
  </w:endnote>
  <w:endnote w:type="continuationNotice" w:id="1">
    <w:p w14:paraId="2F4966ED" w14:textId="77777777" w:rsidR="00287D73" w:rsidRDefault="00287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287D73">
    <w:pPr>
      <w:pStyle w:val="Fuzeile"/>
    </w:pPr>
    <w:r>
      <w:rPr>
        <w:noProof/>
      </w:rPr>
      <w:pict w14:anchorId="0E880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7980" w14:textId="77777777" w:rsidR="00287D73" w:rsidRDefault="00287D73" w:rsidP="004330C6">
      <w:r>
        <w:separator/>
      </w:r>
    </w:p>
  </w:footnote>
  <w:footnote w:type="continuationSeparator" w:id="0">
    <w:p w14:paraId="507E18D2" w14:textId="77777777" w:rsidR="00287D73" w:rsidRDefault="00287D73" w:rsidP="004330C6">
      <w:r>
        <w:continuationSeparator/>
      </w:r>
    </w:p>
  </w:footnote>
  <w:footnote w:type="continuationNotice" w:id="1">
    <w:p w14:paraId="3F3BDABE" w14:textId="77777777" w:rsidR="00287D73" w:rsidRDefault="00287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19FA"/>
    <w:rsid w:val="00062A99"/>
    <w:rsid w:val="00063E65"/>
    <w:rsid w:val="000818EA"/>
    <w:rsid w:val="00086C2C"/>
    <w:rsid w:val="000924F0"/>
    <w:rsid w:val="00092CF3"/>
    <w:rsid w:val="00092E57"/>
    <w:rsid w:val="000931C7"/>
    <w:rsid w:val="00093AB0"/>
    <w:rsid w:val="00094AE6"/>
    <w:rsid w:val="000A5344"/>
    <w:rsid w:val="000B4089"/>
    <w:rsid w:val="000C2D39"/>
    <w:rsid w:val="000C5BAB"/>
    <w:rsid w:val="000C6A86"/>
    <w:rsid w:val="000D0529"/>
    <w:rsid w:val="000E3EBF"/>
    <w:rsid w:val="001037E7"/>
    <w:rsid w:val="00103F7F"/>
    <w:rsid w:val="001043B2"/>
    <w:rsid w:val="00111329"/>
    <w:rsid w:val="001120BB"/>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56BC"/>
    <w:rsid w:val="00167C05"/>
    <w:rsid w:val="00170621"/>
    <w:rsid w:val="00175DBD"/>
    <w:rsid w:val="0018014A"/>
    <w:rsid w:val="001805B7"/>
    <w:rsid w:val="00183DE8"/>
    <w:rsid w:val="00184D8B"/>
    <w:rsid w:val="00187921"/>
    <w:rsid w:val="001905C4"/>
    <w:rsid w:val="00190662"/>
    <w:rsid w:val="00197BE9"/>
    <w:rsid w:val="001A13F6"/>
    <w:rsid w:val="001A1584"/>
    <w:rsid w:val="001B0461"/>
    <w:rsid w:val="001B40F4"/>
    <w:rsid w:val="001B7E2C"/>
    <w:rsid w:val="001C5825"/>
    <w:rsid w:val="001C5D7F"/>
    <w:rsid w:val="001D3566"/>
    <w:rsid w:val="001D5AE7"/>
    <w:rsid w:val="001D6F99"/>
    <w:rsid w:val="001D70D4"/>
    <w:rsid w:val="001E51CC"/>
    <w:rsid w:val="001F0E84"/>
    <w:rsid w:val="00200720"/>
    <w:rsid w:val="0020235E"/>
    <w:rsid w:val="002034DB"/>
    <w:rsid w:val="00206390"/>
    <w:rsid w:val="002065E7"/>
    <w:rsid w:val="00207525"/>
    <w:rsid w:val="0021027A"/>
    <w:rsid w:val="00213248"/>
    <w:rsid w:val="00215123"/>
    <w:rsid w:val="002171CF"/>
    <w:rsid w:val="002176EA"/>
    <w:rsid w:val="00220ABA"/>
    <w:rsid w:val="00226006"/>
    <w:rsid w:val="00231AC9"/>
    <w:rsid w:val="00242713"/>
    <w:rsid w:val="00243B58"/>
    <w:rsid w:val="0024709A"/>
    <w:rsid w:val="002472F5"/>
    <w:rsid w:val="00247B14"/>
    <w:rsid w:val="00247EDB"/>
    <w:rsid w:val="00253E5A"/>
    <w:rsid w:val="00262160"/>
    <w:rsid w:val="0026474A"/>
    <w:rsid w:val="00265079"/>
    <w:rsid w:val="00270D0A"/>
    <w:rsid w:val="00272398"/>
    <w:rsid w:val="00272775"/>
    <w:rsid w:val="0027394B"/>
    <w:rsid w:val="00283958"/>
    <w:rsid w:val="00285810"/>
    <w:rsid w:val="00287D73"/>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331"/>
    <w:rsid w:val="00302508"/>
    <w:rsid w:val="00310398"/>
    <w:rsid w:val="00311FA5"/>
    <w:rsid w:val="00317208"/>
    <w:rsid w:val="003406E6"/>
    <w:rsid w:val="00340CFE"/>
    <w:rsid w:val="003458A7"/>
    <w:rsid w:val="00346B0F"/>
    <w:rsid w:val="003520A7"/>
    <w:rsid w:val="00362474"/>
    <w:rsid w:val="003716B9"/>
    <w:rsid w:val="0037330B"/>
    <w:rsid w:val="00373856"/>
    <w:rsid w:val="0037421A"/>
    <w:rsid w:val="003742CE"/>
    <w:rsid w:val="003817D3"/>
    <w:rsid w:val="003834DC"/>
    <w:rsid w:val="003864D6"/>
    <w:rsid w:val="00387B2C"/>
    <w:rsid w:val="00387F10"/>
    <w:rsid w:val="00390EAD"/>
    <w:rsid w:val="00391FEB"/>
    <w:rsid w:val="003920A4"/>
    <w:rsid w:val="0039213C"/>
    <w:rsid w:val="003976C8"/>
    <w:rsid w:val="003B6792"/>
    <w:rsid w:val="003C3F56"/>
    <w:rsid w:val="003C553A"/>
    <w:rsid w:val="003C6A37"/>
    <w:rsid w:val="003C6DB3"/>
    <w:rsid w:val="003C7650"/>
    <w:rsid w:val="003D4E4E"/>
    <w:rsid w:val="003D62DB"/>
    <w:rsid w:val="003E4B2D"/>
    <w:rsid w:val="003E5409"/>
    <w:rsid w:val="003F01FC"/>
    <w:rsid w:val="003F6959"/>
    <w:rsid w:val="00402316"/>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3E45"/>
    <w:rsid w:val="0046543C"/>
    <w:rsid w:val="004701AE"/>
    <w:rsid w:val="00471643"/>
    <w:rsid w:val="00474959"/>
    <w:rsid w:val="004816E2"/>
    <w:rsid w:val="00481747"/>
    <w:rsid w:val="0048445A"/>
    <w:rsid w:val="00484CED"/>
    <w:rsid w:val="00485602"/>
    <w:rsid w:val="004858F2"/>
    <w:rsid w:val="00486140"/>
    <w:rsid w:val="004968EC"/>
    <w:rsid w:val="004A2550"/>
    <w:rsid w:val="004A3360"/>
    <w:rsid w:val="004A427E"/>
    <w:rsid w:val="004A5441"/>
    <w:rsid w:val="004B4F0E"/>
    <w:rsid w:val="004C0829"/>
    <w:rsid w:val="004D40EB"/>
    <w:rsid w:val="004D54E9"/>
    <w:rsid w:val="004E554F"/>
    <w:rsid w:val="004F0C74"/>
    <w:rsid w:val="004F2652"/>
    <w:rsid w:val="004F5412"/>
    <w:rsid w:val="004F6957"/>
    <w:rsid w:val="004F7215"/>
    <w:rsid w:val="00507E4C"/>
    <w:rsid w:val="00511F42"/>
    <w:rsid w:val="005121C5"/>
    <w:rsid w:val="00512376"/>
    <w:rsid w:val="00512A72"/>
    <w:rsid w:val="0051517B"/>
    <w:rsid w:val="00516E70"/>
    <w:rsid w:val="005208EC"/>
    <w:rsid w:val="00534F54"/>
    <w:rsid w:val="00546AE6"/>
    <w:rsid w:val="005513C5"/>
    <w:rsid w:val="00554F86"/>
    <w:rsid w:val="0056153C"/>
    <w:rsid w:val="00562A6E"/>
    <w:rsid w:val="00570381"/>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E6B37"/>
    <w:rsid w:val="005F2899"/>
    <w:rsid w:val="005F3FF6"/>
    <w:rsid w:val="005F62D8"/>
    <w:rsid w:val="00600743"/>
    <w:rsid w:val="00610CDC"/>
    <w:rsid w:val="00613BA5"/>
    <w:rsid w:val="00614232"/>
    <w:rsid w:val="0063132F"/>
    <w:rsid w:val="00633CC0"/>
    <w:rsid w:val="00640BCD"/>
    <w:rsid w:val="00645AA1"/>
    <w:rsid w:val="0064639D"/>
    <w:rsid w:val="006467A5"/>
    <w:rsid w:val="00650DAB"/>
    <w:rsid w:val="00652A61"/>
    <w:rsid w:val="0066310C"/>
    <w:rsid w:val="00671287"/>
    <w:rsid w:val="00674E8B"/>
    <w:rsid w:val="006811A8"/>
    <w:rsid w:val="006813B3"/>
    <w:rsid w:val="00683F82"/>
    <w:rsid w:val="00691110"/>
    <w:rsid w:val="00691318"/>
    <w:rsid w:val="006A2793"/>
    <w:rsid w:val="006A2C15"/>
    <w:rsid w:val="006A40DE"/>
    <w:rsid w:val="006A4552"/>
    <w:rsid w:val="006A79E8"/>
    <w:rsid w:val="006C2799"/>
    <w:rsid w:val="006C45CF"/>
    <w:rsid w:val="006C66A2"/>
    <w:rsid w:val="006C695E"/>
    <w:rsid w:val="006D2E7A"/>
    <w:rsid w:val="006D52CD"/>
    <w:rsid w:val="006E2CFE"/>
    <w:rsid w:val="006E3F60"/>
    <w:rsid w:val="006E651F"/>
    <w:rsid w:val="006E6906"/>
    <w:rsid w:val="006E755A"/>
    <w:rsid w:val="006E767C"/>
    <w:rsid w:val="006E7A7C"/>
    <w:rsid w:val="006F7A48"/>
    <w:rsid w:val="007009A4"/>
    <w:rsid w:val="00700CFB"/>
    <w:rsid w:val="00706804"/>
    <w:rsid w:val="00706FBB"/>
    <w:rsid w:val="00710F45"/>
    <w:rsid w:val="007153F5"/>
    <w:rsid w:val="0071647D"/>
    <w:rsid w:val="0072045B"/>
    <w:rsid w:val="00721C7D"/>
    <w:rsid w:val="007220BC"/>
    <w:rsid w:val="0072231E"/>
    <w:rsid w:val="00723BDD"/>
    <w:rsid w:val="0073211E"/>
    <w:rsid w:val="00735620"/>
    <w:rsid w:val="00740110"/>
    <w:rsid w:val="00742C5E"/>
    <w:rsid w:val="00742E6F"/>
    <w:rsid w:val="00743493"/>
    <w:rsid w:val="00743D30"/>
    <w:rsid w:val="00745291"/>
    <w:rsid w:val="00751CBA"/>
    <w:rsid w:val="00753925"/>
    <w:rsid w:val="0075799E"/>
    <w:rsid w:val="00757B2E"/>
    <w:rsid w:val="00764FE0"/>
    <w:rsid w:val="0077003A"/>
    <w:rsid w:val="00771135"/>
    <w:rsid w:val="0077345C"/>
    <w:rsid w:val="00775BF5"/>
    <w:rsid w:val="00780A4D"/>
    <w:rsid w:val="00786582"/>
    <w:rsid w:val="00787AEB"/>
    <w:rsid w:val="007907BE"/>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70F6"/>
    <w:rsid w:val="007F7D01"/>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73F37"/>
    <w:rsid w:val="00886A71"/>
    <w:rsid w:val="0089508C"/>
    <w:rsid w:val="00895C63"/>
    <w:rsid w:val="008A0CC1"/>
    <w:rsid w:val="008A549C"/>
    <w:rsid w:val="008B1692"/>
    <w:rsid w:val="008B3A31"/>
    <w:rsid w:val="008B3A4A"/>
    <w:rsid w:val="008C1026"/>
    <w:rsid w:val="008C5A92"/>
    <w:rsid w:val="008D22AA"/>
    <w:rsid w:val="008D4769"/>
    <w:rsid w:val="008D5D01"/>
    <w:rsid w:val="008D7302"/>
    <w:rsid w:val="008D7BC7"/>
    <w:rsid w:val="008E0434"/>
    <w:rsid w:val="008E12E9"/>
    <w:rsid w:val="008E327B"/>
    <w:rsid w:val="008F12AC"/>
    <w:rsid w:val="008F2D79"/>
    <w:rsid w:val="008F3AD1"/>
    <w:rsid w:val="008F3B94"/>
    <w:rsid w:val="008F526C"/>
    <w:rsid w:val="00904362"/>
    <w:rsid w:val="00905794"/>
    <w:rsid w:val="0091013D"/>
    <w:rsid w:val="00913A6C"/>
    <w:rsid w:val="0091412C"/>
    <w:rsid w:val="00915E45"/>
    <w:rsid w:val="00916F1C"/>
    <w:rsid w:val="00920BFE"/>
    <w:rsid w:val="00921981"/>
    <w:rsid w:val="00921E94"/>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2771"/>
    <w:rsid w:val="0097368B"/>
    <w:rsid w:val="009778CC"/>
    <w:rsid w:val="00980DE3"/>
    <w:rsid w:val="00983E6C"/>
    <w:rsid w:val="00997D0E"/>
    <w:rsid w:val="009A012C"/>
    <w:rsid w:val="009A02E5"/>
    <w:rsid w:val="009A2661"/>
    <w:rsid w:val="009A3315"/>
    <w:rsid w:val="009A514D"/>
    <w:rsid w:val="009B1E5B"/>
    <w:rsid w:val="009B1FC9"/>
    <w:rsid w:val="009B25F3"/>
    <w:rsid w:val="009B56F9"/>
    <w:rsid w:val="009B791C"/>
    <w:rsid w:val="009C2121"/>
    <w:rsid w:val="009C592C"/>
    <w:rsid w:val="009D2B82"/>
    <w:rsid w:val="009D427F"/>
    <w:rsid w:val="009D56CC"/>
    <w:rsid w:val="009D6801"/>
    <w:rsid w:val="009E41F8"/>
    <w:rsid w:val="009E7449"/>
    <w:rsid w:val="009F0FB4"/>
    <w:rsid w:val="009F54F4"/>
    <w:rsid w:val="009F6886"/>
    <w:rsid w:val="00A04698"/>
    <w:rsid w:val="00A062C9"/>
    <w:rsid w:val="00A07BAF"/>
    <w:rsid w:val="00A13149"/>
    <w:rsid w:val="00A17E32"/>
    <w:rsid w:val="00A230AE"/>
    <w:rsid w:val="00A26BDE"/>
    <w:rsid w:val="00A30243"/>
    <w:rsid w:val="00A51B43"/>
    <w:rsid w:val="00A57A45"/>
    <w:rsid w:val="00A60861"/>
    <w:rsid w:val="00A65CF8"/>
    <w:rsid w:val="00A67407"/>
    <w:rsid w:val="00A717EB"/>
    <w:rsid w:val="00A71B6D"/>
    <w:rsid w:val="00A738EB"/>
    <w:rsid w:val="00A90641"/>
    <w:rsid w:val="00A947D9"/>
    <w:rsid w:val="00AB04C6"/>
    <w:rsid w:val="00AB080D"/>
    <w:rsid w:val="00AB119D"/>
    <w:rsid w:val="00AB488B"/>
    <w:rsid w:val="00AB5CA0"/>
    <w:rsid w:val="00AC2F05"/>
    <w:rsid w:val="00AC3AC3"/>
    <w:rsid w:val="00AC6A98"/>
    <w:rsid w:val="00AC74CF"/>
    <w:rsid w:val="00AD27D1"/>
    <w:rsid w:val="00AD56FA"/>
    <w:rsid w:val="00AE0BCA"/>
    <w:rsid w:val="00AE1447"/>
    <w:rsid w:val="00AE3FDF"/>
    <w:rsid w:val="00AE550C"/>
    <w:rsid w:val="00AE5AA2"/>
    <w:rsid w:val="00AE70E8"/>
    <w:rsid w:val="00AF014B"/>
    <w:rsid w:val="00AF458C"/>
    <w:rsid w:val="00AF5B54"/>
    <w:rsid w:val="00AF613A"/>
    <w:rsid w:val="00AF722F"/>
    <w:rsid w:val="00B10CED"/>
    <w:rsid w:val="00B21091"/>
    <w:rsid w:val="00B21639"/>
    <w:rsid w:val="00B24C7E"/>
    <w:rsid w:val="00B33379"/>
    <w:rsid w:val="00B42DDB"/>
    <w:rsid w:val="00B43B48"/>
    <w:rsid w:val="00B54777"/>
    <w:rsid w:val="00B61B8C"/>
    <w:rsid w:val="00B63E7A"/>
    <w:rsid w:val="00B644A7"/>
    <w:rsid w:val="00B65C34"/>
    <w:rsid w:val="00B67E3B"/>
    <w:rsid w:val="00B7042A"/>
    <w:rsid w:val="00B712D5"/>
    <w:rsid w:val="00B74DAC"/>
    <w:rsid w:val="00B74E32"/>
    <w:rsid w:val="00B7515D"/>
    <w:rsid w:val="00B76096"/>
    <w:rsid w:val="00B823C9"/>
    <w:rsid w:val="00B86C3F"/>
    <w:rsid w:val="00B943F0"/>
    <w:rsid w:val="00B95AEC"/>
    <w:rsid w:val="00B96A50"/>
    <w:rsid w:val="00BA6419"/>
    <w:rsid w:val="00BA750F"/>
    <w:rsid w:val="00BA761B"/>
    <w:rsid w:val="00BB0790"/>
    <w:rsid w:val="00BB56CB"/>
    <w:rsid w:val="00BB634E"/>
    <w:rsid w:val="00BC2C84"/>
    <w:rsid w:val="00BC3124"/>
    <w:rsid w:val="00BC6AB1"/>
    <w:rsid w:val="00BD18F0"/>
    <w:rsid w:val="00BD4D95"/>
    <w:rsid w:val="00BF0375"/>
    <w:rsid w:val="00BF34F3"/>
    <w:rsid w:val="00C028A4"/>
    <w:rsid w:val="00C07F9F"/>
    <w:rsid w:val="00C1312E"/>
    <w:rsid w:val="00C1480B"/>
    <w:rsid w:val="00C153B7"/>
    <w:rsid w:val="00C1680C"/>
    <w:rsid w:val="00C20116"/>
    <w:rsid w:val="00C2018B"/>
    <w:rsid w:val="00C246A8"/>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3E46"/>
    <w:rsid w:val="00CB5540"/>
    <w:rsid w:val="00CB634F"/>
    <w:rsid w:val="00CC4FA9"/>
    <w:rsid w:val="00CD0813"/>
    <w:rsid w:val="00CD5B1B"/>
    <w:rsid w:val="00CD78B4"/>
    <w:rsid w:val="00CD7F15"/>
    <w:rsid w:val="00CD7F18"/>
    <w:rsid w:val="00CE5003"/>
    <w:rsid w:val="00CE5AD3"/>
    <w:rsid w:val="00CE5F13"/>
    <w:rsid w:val="00CE661E"/>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468C"/>
    <w:rsid w:val="00D36541"/>
    <w:rsid w:val="00D36AF1"/>
    <w:rsid w:val="00D37E7B"/>
    <w:rsid w:val="00D410FB"/>
    <w:rsid w:val="00D42274"/>
    <w:rsid w:val="00D45AF7"/>
    <w:rsid w:val="00D52D14"/>
    <w:rsid w:val="00D53C40"/>
    <w:rsid w:val="00D60C13"/>
    <w:rsid w:val="00D60CED"/>
    <w:rsid w:val="00D63A24"/>
    <w:rsid w:val="00D66E92"/>
    <w:rsid w:val="00D7212C"/>
    <w:rsid w:val="00D7273A"/>
    <w:rsid w:val="00D7514C"/>
    <w:rsid w:val="00D76D8D"/>
    <w:rsid w:val="00D80EE3"/>
    <w:rsid w:val="00D83233"/>
    <w:rsid w:val="00D832F5"/>
    <w:rsid w:val="00D871A6"/>
    <w:rsid w:val="00D87DE6"/>
    <w:rsid w:val="00D910C8"/>
    <w:rsid w:val="00D915C1"/>
    <w:rsid w:val="00D928EB"/>
    <w:rsid w:val="00D94A80"/>
    <w:rsid w:val="00DA2287"/>
    <w:rsid w:val="00DA60A2"/>
    <w:rsid w:val="00DA7796"/>
    <w:rsid w:val="00DB37E7"/>
    <w:rsid w:val="00DB3F8E"/>
    <w:rsid w:val="00DC116E"/>
    <w:rsid w:val="00DC1B36"/>
    <w:rsid w:val="00DD0C9B"/>
    <w:rsid w:val="00DD7961"/>
    <w:rsid w:val="00DE01C7"/>
    <w:rsid w:val="00DE22EF"/>
    <w:rsid w:val="00DE295B"/>
    <w:rsid w:val="00DE2FD9"/>
    <w:rsid w:val="00DE5608"/>
    <w:rsid w:val="00DE5CC5"/>
    <w:rsid w:val="00DE7198"/>
    <w:rsid w:val="00DF2770"/>
    <w:rsid w:val="00DF3502"/>
    <w:rsid w:val="00DF7668"/>
    <w:rsid w:val="00E00804"/>
    <w:rsid w:val="00E02E17"/>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2BA6"/>
    <w:rsid w:val="00E7620D"/>
    <w:rsid w:val="00E77FCB"/>
    <w:rsid w:val="00E83856"/>
    <w:rsid w:val="00E83B65"/>
    <w:rsid w:val="00E86932"/>
    <w:rsid w:val="00E94C2E"/>
    <w:rsid w:val="00E9699A"/>
    <w:rsid w:val="00EA00D2"/>
    <w:rsid w:val="00EA107B"/>
    <w:rsid w:val="00EA1913"/>
    <w:rsid w:val="00EA7531"/>
    <w:rsid w:val="00EA7B9D"/>
    <w:rsid w:val="00EB4FE9"/>
    <w:rsid w:val="00EC1A01"/>
    <w:rsid w:val="00EC7F60"/>
    <w:rsid w:val="00ED3A2C"/>
    <w:rsid w:val="00ED4FC4"/>
    <w:rsid w:val="00EE0F8A"/>
    <w:rsid w:val="00EE15F3"/>
    <w:rsid w:val="00EE3281"/>
    <w:rsid w:val="00EE6038"/>
    <w:rsid w:val="00F00F40"/>
    <w:rsid w:val="00F10AE8"/>
    <w:rsid w:val="00F10C07"/>
    <w:rsid w:val="00F12DFA"/>
    <w:rsid w:val="00F1313D"/>
    <w:rsid w:val="00F14855"/>
    <w:rsid w:val="00F2197E"/>
    <w:rsid w:val="00F21E77"/>
    <w:rsid w:val="00F225EA"/>
    <w:rsid w:val="00F27082"/>
    <w:rsid w:val="00F309DA"/>
    <w:rsid w:val="00F400D7"/>
    <w:rsid w:val="00F40FC9"/>
    <w:rsid w:val="00F4178D"/>
    <w:rsid w:val="00F46090"/>
    <w:rsid w:val="00F5019E"/>
    <w:rsid w:val="00F57E82"/>
    <w:rsid w:val="00F60117"/>
    <w:rsid w:val="00F62431"/>
    <w:rsid w:val="00F74B86"/>
    <w:rsid w:val="00F80043"/>
    <w:rsid w:val="00F81116"/>
    <w:rsid w:val="00F81811"/>
    <w:rsid w:val="00F85366"/>
    <w:rsid w:val="00FA0750"/>
    <w:rsid w:val="00FA0EA2"/>
    <w:rsid w:val="00FA141A"/>
    <w:rsid w:val="00FA21A8"/>
    <w:rsid w:val="00FA5790"/>
    <w:rsid w:val="00FB796E"/>
    <w:rsid w:val="00FC2346"/>
    <w:rsid w:val="00FC505E"/>
    <w:rsid w:val="00FC51BC"/>
    <w:rsid w:val="00FD002B"/>
    <w:rsid w:val="00FD63AF"/>
    <w:rsid w:val="00FE0D12"/>
    <w:rsid w:val="00FE5893"/>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iseurop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DA96E-8670-41E3-824B-70D7AF360601}">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94CE804D-C21C-4933-9F05-BB66E087A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4C69EA-DA37-450F-A64F-6EA3D43139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6326</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85</cp:revision>
  <cp:lastPrinted>2019-01-10T17:28:00Z</cp:lastPrinted>
  <dcterms:created xsi:type="dcterms:W3CDTF">2019-02-12T09:24:00Z</dcterms:created>
  <dcterms:modified xsi:type="dcterms:W3CDTF">2026-01-14T13:33:00Z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