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FA141A"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16383BF3" w14:textId="77777777" w:rsidR="004330C6" w:rsidRPr="00FA141A" w:rsidRDefault="004330C6" w:rsidP="003817D3">
      <w:pPr>
        <w:rPr>
          <w:rFonts w:ascii="Arial" w:hAnsi="Arial"/>
          <w:b/>
          <w:color w:val="000000" w:themeColor="text1"/>
          <w:sz w:val="28"/>
          <w:bdr w:val="none" w:sz="0" w:space="0" w:color="auto" w:frame="1"/>
        </w:rPr>
      </w:pPr>
    </w:p>
    <w:p w14:paraId="0660A2A3" w14:textId="77777777" w:rsidR="004330C6" w:rsidRPr="00FA141A" w:rsidRDefault="004330C6" w:rsidP="003817D3">
      <w:pPr>
        <w:rPr>
          <w:rFonts w:ascii="Arial" w:hAnsi="Arial"/>
          <w:b/>
          <w:color w:val="000000" w:themeColor="text1"/>
          <w:sz w:val="28"/>
          <w:bdr w:val="none" w:sz="0" w:space="0" w:color="auto" w:frame="1"/>
        </w:rPr>
      </w:pPr>
    </w:p>
    <w:p w14:paraId="30DD557C" w14:textId="024B9C41" w:rsidR="00780A4D" w:rsidRPr="00FA141A" w:rsidRDefault="0075799E" w:rsidP="00C028A4">
      <w:pPr>
        <w:rPr>
          <w:rFonts w:ascii="Calibri" w:hAnsi="Calibri" w:cs="Calibri"/>
          <w:b/>
          <w:sz w:val="44"/>
          <w:szCs w:val="44"/>
        </w:rPr>
      </w:pPr>
      <w:r w:rsidRPr="00D97B02">
        <w:rPr>
          <w:rFonts w:ascii="Calibri" w:hAnsi="Calibri"/>
          <w:b/>
          <w:color w:val="000000" w:themeColor="text1"/>
          <w:sz w:val="44"/>
        </w:rPr>
        <w:t xml:space="preserve">All eyes on us – </w:t>
      </w:r>
      <w:r>
        <w:rPr>
          <w:rFonts w:ascii="Calibri" w:hAnsi="Calibri"/>
          <w:b/>
          <w:sz w:val="44"/>
        </w:rPr>
        <w:t>Cameo presents the next generation of lighting technology at ISE 2026</w:t>
      </w:r>
    </w:p>
    <w:p w14:paraId="1E1BB173" w14:textId="77777777" w:rsidR="009D2B82" w:rsidRPr="00FA141A" w:rsidRDefault="009D2B82" w:rsidP="00C028A4">
      <w:pPr>
        <w:rPr>
          <w:rFonts w:ascii="Calibri" w:hAnsi="Calibri" w:cs="Calibri"/>
          <w:b/>
          <w:color w:val="0D0D0D" w:themeColor="text1" w:themeTint="F2"/>
          <w:sz w:val="44"/>
          <w:szCs w:val="44"/>
          <w:bdr w:val="none" w:sz="0" w:space="0" w:color="auto" w:frame="1"/>
        </w:rPr>
      </w:pPr>
    </w:p>
    <w:p w14:paraId="1EAB415F" w14:textId="03F54F04" w:rsidR="00E77FCB" w:rsidRPr="00FA141A" w:rsidRDefault="007D7F23" w:rsidP="002F20E1">
      <w:pPr>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Pr>
          <w:rFonts w:ascii="Calibri" w:hAnsi="Calibri"/>
          <w:b/>
          <w:color w:val="000000" w:themeColor="text1"/>
          <w:sz w:val="22"/>
          <w:bdr w:val="none" w:sz="0" w:space="0" w:color="auto" w:frame="1"/>
        </w:rPr>
        <w:t xml:space="preserve"> 15 January 2026 </w:t>
      </w:r>
      <w:r>
        <w:rPr>
          <w:rFonts w:ascii="Calibri" w:hAnsi="Calibri"/>
          <w:b/>
          <w:color w:val="0D0D0D" w:themeColor="text1" w:themeTint="F2"/>
          <w:sz w:val="22"/>
          <w:bdr w:val="none" w:sz="0" w:space="0" w:color="auto" w:frame="1"/>
        </w:rPr>
        <w:t>– At this year’s Integrated Systems Europe (3-6 February) in Barcelona, Cameo is presenting one of the most extensive trade fair line-ups in its history. With the motto “All eyes on us”, the Adam Hall Group’s lighting technology brand will not only be showcasing new individual products and series extensions, but also completely new lighting series, including the grand unveiling of the most successful Cameo light in the entire portfolio. This wide range of products will be accompanied by live product demonstrations at the trade fair stand (Hall 6, 6M300) and an extended open showroom programme in Barcelona.</w:t>
      </w:r>
    </w:p>
    <w:p w14:paraId="63A42983" w14:textId="77777777" w:rsidR="009F6886" w:rsidRPr="00FA141A" w:rsidRDefault="009F6886" w:rsidP="002F20E1">
      <w:pPr>
        <w:rPr>
          <w:rFonts w:ascii="Calibri" w:hAnsi="Calibri" w:cs="Calibri"/>
          <w:b/>
          <w:color w:val="0D0D0D" w:themeColor="text1" w:themeTint="F2"/>
          <w:sz w:val="22"/>
          <w:szCs w:val="22"/>
          <w:bdr w:val="none" w:sz="0" w:space="0" w:color="auto" w:frame="1"/>
        </w:rPr>
      </w:pPr>
    </w:p>
    <w:p w14:paraId="01AB2E42" w14:textId="2B965072" w:rsidR="00DA60A2" w:rsidRPr="00FA141A" w:rsidRDefault="00DA60A2" w:rsidP="00DA60A2">
      <w:pPr>
        <w:pStyle w:val="KeinLeerraum"/>
        <w:rPr>
          <w:rFonts w:ascii="Calibri" w:eastAsia="Times New Roman" w:hAnsi="Calibri" w:cs="Calibri"/>
          <w:b/>
          <w:kern w:val="0"/>
          <w:sz w:val="22"/>
          <w:szCs w:val="22"/>
        </w:rPr>
      </w:pPr>
      <w:r>
        <w:rPr>
          <w:rFonts w:ascii="Calibri" w:hAnsi="Calibri"/>
          <w:b/>
          <w:kern w:val="0"/>
          <w:sz w:val="22"/>
        </w:rPr>
        <w:t>ZENIT® W600 G2 – the second generation of the bestseller</w:t>
      </w:r>
    </w:p>
    <w:p w14:paraId="55229BC1" w14:textId="116DD50B" w:rsidR="009D2B82" w:rsidRPr="00FA141A" w:rsidRDefault="00DA60A2" w:rsidP="00DA60A2">
      <w:pPr>
        <w:pStyle w:val="KeinLeerraum"/>
        <w:rPr>
          <w:rFonts w:ascii="Calibri" w:hAnsi="Calibri" w:cs="Calibri"/>
          <w:b/>
          <w:bCs/>
          <w:color w:val="000000" w:themeColor="text1"/>
          <w:sz w:val="22"/>
          <w:szCs w:val="22"/>
        </w:rPr>
      </w:pPr>
      <w:r>
        <w:rPr>
          <w:rFonts w:ascii="Calibri" w:hAnsi="Calibri"/>
          <w:kern w:val="0"/>
          <w:sz w:val="22"/>
        </w:rPr>
        <w:t>With the ZENIT® W600 G2 IP65 LED wash light, Cameo presents the successor to its most successful fixture. Based on a 660 W LED engine with 40 × 50 W RGBALC LEDs, a 32,000 lumen output and XColour™ technology, the ZENIT® W600 G2 delivers highly precise colours, excellent colour rendering (CRI 98/TLCI 95) and extensive creative possibilities – including vertical LED segment control, seamless clustering and the new SnapMag® FX electronic frost for fast transitions in the 18°-54° range. Despite the significantly higher output, the IP65 light weighs just 12.9 kg and is also compatible with the filters and accessories from the G1 series. It can also be operated in legacy mode so that G1 and G2 devices can be used together with identical colours, looks and output.</w:t>
      </w:r>
    </w:p>
    <w:p w14:paraId="23060FDF" w14:textId="77777777" w:rsidR="00DA60A2" w:rsidRPr="00FA141A" w:rsidRDefault="00DA60A2" w:rsidP="00272398">
      <w:pPr>
        <w:pStyle w:val="KeinLeerraum"/>
        <w:rPr>
          <w:rFonts w:ascii="Calibri" w:hAnsi="Calibri" w:cs="Calibri"/>
          <w:b/>
          <w:bCs/>
          <w:color w:val="000000" w:themeColor="text1"/>
          <w:sz w:val="22"/>
          <w:szCs w:val="22"/>
        </w:rPr>
      </w:pPr>
    </w:p>
    <w:p w14:paraId="459F22A0" w14:textId="493683DF" w:rsidR="00CB634F" w:rsidRPr="00FA141A" w:rsidRDefault="00CB634F" w:rsidP="00CB634F">
      <w:pPr>
        <w:pStyle w:val="KeinLeerraum"/>
        <w:rPr>
          <w:rFonts w:ascii="Calibri" w:hAnsi="Calibri" w:cs="Calibri"/>
          <w:b/>
          <w:bCs/>
          <w:color w:val="000000" w:themeColor="text1"/>
          <w:sz w:val="22"/>
          <w:szCs w:val="22"/>
        </w:rPr>
      </w:pPr>
      <w:r>
        <w:rPr>
          <w:rFonts w:ascii="Calibri" w:hAnsi="Calibri"/>
          <w:b/>
          <w:color w:val="000000" w:themeColor="text1"/>
          <w:sz w:val="22"/>
        </w:rPr>
        <w:t>OTOS® Linear – new dimensions for moving light designs</w:t>
      </w:r>
    </w:p>
    <w:p w14:paraId="059E7146" w14:textId="1389F4C7" w:rsidR="00CB634F" w:rsidRPr="00FA141A" w:rsidRDefault="00CB634F" w:rsidP="00CB634F">
      <w:pPr>
        <w:pStyle w:val="KeinLeerraum"/>
        <w:rPr>
          <w:rFonts w:ascii="Calibri" w:hAnsi="Calibri" w:cs="Calibri"/>
          <w:color w:val="000000" w:themeColor="text1"/>
          <w:sz w:val="22"/>
          <w:szCs w:val="22"/>
        </w:rPr>
      </w:pPr>
      <w:r>
        <w:rPr>
          <w:rFonts w:ascii="Calibri" w:hAnsi="Calibri"/>
          <w:color w:val="000000" w:themeColor="text1"/>
          <w:sz w:val="22"/>
        </w:rPr>
        <w:t>Cameo is expanding the OTOS® family with two IP65 moving bar models. The OTOS® L16 is a powerful 720 W LED bar with 16 × 50 W RGBL LEDs, 9,300 lm output, two independently controllable zoom segments, motorised 208° tilt range and integrated FX strip – ideal for precise beams, dynamic zoom and seamless cluster effects. The OTOS® LC12 combines twelve individually tiltable and zoomable 50 W RGBL moving heads that create spectacular linear curve effects for kinetic beam looks – perfect for demanding live productions both indoors and outdoors.</w:t>
      </w:r>
    </w:p>
    <w:p w14:paraId="5A3B34C1" w14:textId="77777777" w:rsidR="00CB634F" w:rsidRPr="00FA141A" w:rsidRDefault="00CB634F" w:rsidP="00272398">
      <w:pPr>
        <w:pStyle w:val="KeinLeerraum"/>
        <w:rPr>
          <w:rFonts w:ascii="Calibri" w:hAnsi="Calibri" w:cs="Calibri"/>
          <w:b/>
          <w:bCs/>
          <w:color w:val="000000" w:themeColor="text1"/>
          <w:sz w:val="22"/>
          <w:szCs w:val="22"/>
        </w:rPr>
      </w:pPr>
    </w:p>
    <w:p w14:paraId="205BA57B" w14:textId="573BCD10" w:rsidR="00EE6038" w:rsidRPr="00FA141A" w:rsidRDefault="00EE6038" w:rsidP="00272398">
      <w:pPr>
        <w:pStyle w:val="KeinLeerraum"/>
        <w:rPr>
          <w:rFonts w:ascii="Calibri" w:hAnsi="Calibri" w:cs="Calibri"/>
          <w:b/>
          <w:bCs/>
          <w:color w:val="000000" w:themeColor="text1"/>
          <w:sz w:val="22"/>
          <w:szCs w:val="22"/>
        </w:rPr>
      </w:pPr>
      <w:r>
        <w:rPr>
          <w:rFonts w:ascii="Calibri" w:hAnsi="Calibri"/>
          <w:b/>
          <w:color w:val="000000" w:themeColor="text1"/>
          <w:sz w:val="22"/>
        </w:rPr>
        <w:t>ZIYA® series – IP65 zoom PARs for touring &amp; outdoor events</w:t>
      </w:r>
    </w:p>
    <w:p w14:paraId="01BA5ED6" w14:textId="5E071DF1" w:rsidR="00EE6038" w:rsidRPr="00FA141A" w:rsidRDefault="00EE6038" w:rsidP="00272398">
      <w:pPr>
        <w:pStyle w:val="KeinLeerraum"/>
        <w:rPr>
          <w:rFonts w:ascii="Calibri" w:hAnsi="Calibri" w:cs="Calibri"/>
          <w:color w:val="000000" w:themeColor="text1"/>
          <w:sz w:val="22"/>
          <w:szCs w:val="22"/>
        </w:rPr>
      </w:pPr>
      <w:r>
        <w:rPr>
          <w:rFonts w:ascii="Calibri" w:hAnsi="Calibri"/>
          <w:color w:val="000000" w:themeColor="text1"/>
          <w:sz w:val="22"/>
        </w:rPr>
        <w:t>With the new ZIYA® series, Cameo presents a versatile range of IP65-certified LED zoom PARs that are optimised for touring, theatre or corporate lighting applications, depending on the model. The ZIYA® 200 models – available either as an RGBL version with 4 × 60 W LEDs or as a COB version with RGBALC colour mixing and Fresnel optics – cover compact applications and enable flexible looks, from tightly focused beams to soft, homogeneous washes. In addition, the larger ZIYA® 400 and ZIYA® 400 COB with 7 × 60 W LEDs or COB engine offer more output and reserves for large stages and touring setups. All models feature motorised silent zooms, robust IP65 housings and the integrated SPIN16® rigging system.</w:t>
      </w:r>
    </w:p>
    <w:p w14:paraId="563BA0A6" w14:textId="77777777" w:rsidR="00EE6038" w:rsidRPr="00FA141A" w:rsidRDefault="00EE6038" w:rsidP="00272398">
      <w:pPr>
        <w:pStyle w:val="KeinLeerraum"/>
        <w:rPr>
          <w:rFonts w:ascii="Calibri" w:hAnsi="Calibri" w:cs="Calibri"/>
          <w:b/>
          <w:bCs/>
          <w:color w:val="000000" w:themeColor="text1"/>
          <w:sz w:val="22"/>
          <w:szCs w:val="22"/>
        </w:rPr>
      </w:pPr>
    </w:p>
    <w:p w14:paraId="2AC3D595" w14:textId="3E5D2F3E" w:rsidR="00EE6038" w:rsidRPr="00FA141A" w:rsidRDefault="00D3468C" w:rsidP="00272398">
      <w:pPr>
        <w:pStyle w:val="KeinLeerraum"/>
        <w:rPr>
          <w:rFonts w:ascii="Calibri" w:hAnsi="Calibri" w:cs="Calibri"/>
          <w:b/>
          <w:bCs/>
          <w:color w:val="000000" w:themeColor="text1"/>
          <w:sz w:val="22"/>
          <w:szCs w:val="22"/>
        </w:rPr>
      </w:pPr>
      <w:r>
        <w:rPr>
          <w:rFonts w:ascii="Calibri" w:hAnsi="Calibri"/>
          <w:b/>
          <w:color w:val="000000" w:themeColor="text1"/>
          <w:sz w:val="22"/>
        </w:rPr>
        <w:lastRenderedPageBreak/>
        <w:t>SUNO® series – new IP65 RGBAWW blinders for touring &amp; more</w:t>
      </w:r>
    </w:p>
    <w:p w14:paraId="3EFBBC2F" w14:textId="79A7D5D0" w:rsidR="00EE6038" w:rsidRPr="00FA141A" w:rsidRDefault="00BB0790" w:rsidP="00272398">
      <w:pPr>
        <w:pStyle w:val="KeinLeerraum"/>
        <w:rPr>
          <w:rFonts w:ascii="Calibri" w:hAnsi="Calibri" w:cs="Calibri"/>
          <w:color w:val="000000" w:themeColor="text1"/>
          <w:sz w:val="22"/>
          <w:szCs w:val="22"/>
        </w:rPr>
      </w:pPr>
      <w:r>
        <w:rPr>
          <w:rFonts w:ascii="Calibri" w:hAnsi="Calibri"/>
          <w:color w:val="000000" w:themeColor="text1"/>
          <w:sz w:val="22"/>
        </w:rPr>
        <w:t>With the new SUNO® series, Cameo is expanding its portfolio with powerful RGBAWW blinders in 2- and 4-light configurations for demanding touring and outdoor applications. With up to 1,200 W LED output, integrated boost mode for more than 55,000 lumens and an authentic PAR-36-DWE look, the SUNOs ensure a powerful blinder performance – including in demanding outdoor conditions thanks to the IP65 housing.</w:t>
      </w:r>
    </w:p>
    <w:p w14:paraId="68A7E06C" w14:textId="77777777" w:rsidR="00EA00D2" w:rsidRPr="00FA141A" w:rsidRDefault="00EA00D2" w:rsidP="00272398">
      <w:pPr>
        <w:pStyle w:val="KeinLeerraum"/>
        <w:rPr>
          <w:rFonts w:ascii="Calibri" w:hAnsi="Calibri" w:cs="Calibri"/>
          <w:color w:val="000000" w:themeColor="text1"/>
          <w:sz w:val="22"/>
          <w:szCs w:val="22"/>
        </w:rPr>
      </w:pPr>
    </w:p>
    <w:p w14:paraId="08E6393B" w14:textId="734B2116" w:rsidR="00EA00D2" w:rsidRPr="00FA141A" w:rsidRDefault="00EA00D2" w:rsidP="00EA00D2">
      <w:pPr>
        <w:pStyle w:val="KeinLeerraum"/>
        <w:rPr>
          <w:rFonts w:ascii="Calibri" w:hAnsi="Calibri" w:cs="Calibri"/>
          <w:b/>
          <w:bCs/>
          <w:color w:val="000000" w:themeColor="text1"/>
          <w:sz w:val="22"/>
          <w:szCs w:val="22"/>
        </w:rPr>
      </w:pPr>
      <w:r>
        <w:rPr>
          <w:rFonts w:ascii="Calibri" w:hAnsi="Calibri"/>
          <w:b/>
          <w:color w:val="000000" w:themeColor="text1"/>
          <w:sz w:val="22"/>
        </w:rPr>
        <w:t xml:space="preserve">OPUS® X4 IP </w:t>
      </w:r>
      <w:r w:rsidRPr="00D97B02">
        <w:rPr>
          <w:rFonts w:ascii="Calibri" w:hAnsi="Calibri"/>
          <w:b/>
          <w:color w:val="000000" w:themeColor="text1"/>
          <w:sz w:val="22"/>
        </w:rPr>
        <w:t>– High-Power-Performance meets IP65</w:t>
      </w:r>
    </w:p>
    <w:p w14:paraId="0214F913" w14:textId="170BD207" w:rsidR="00EA00D2" w:rsidRPr="00FA141A" w:rsidRDefault="00D7212C" w:rsidP="00873F37">
      <w:pPr>
        <w:pStyle w:val="KeinLeerraum"/>
        <w:rPr>
          <w:rFonts w:ascii="Calibri" w:hAnsi="Calibri" w:cs="Calibri"/>
          <w:color w:val="000000" w:themeColor="text1"/>
          <w:sz w:val="22"/>
          <w:szCs w:val="22"/>
        </w:rPr>
      </w:pPr>
      <w:r>
        <w:rPr>
          <w:rFonts w:ascii="Calibri" w:hAnsi="Calibri"/>
          <w:color w:val="000000" w:themeColor="text1"/>
          <w:sz w:val="22"/>
        </w:rPr>
        <w:t xml:space="preserve">The OPUS® X4 IP is the first IP65 model in the OPUS® series – and does not compromise on output, handling or size. The spot profile moving head is based on a 1,400 W LED engine with 50,000 lumen output and offers the same large zoom range of 5° to 55° as well as the familiar colour and effect features of the popular OPUS® X4. </w:t>
      </w:r>
    </w:p>
    <w:p w14:paraId="77FC03EF" w14:textId="77777777" w:rsidR="00EE6038" w:rsidRPr="00FA141A" w:rsidRDefault="00EE6038" w:rsidP="00272398">
      <w:pPr>
        <w:pStyle w:val="KeinLeerraum"/>
        <w:rPr>
          <w:rFonts w:ascii="Calibri" w:hAnsi="Calibri" w:cs="Calibri"/>
          <w:color w:val="000000" w:themeColor="text1"/>
          <w:sz w:val="22"/>
          <w:szCs w:val="22"/>
        </w:rPr>
      </w:pPr>
    </w:p>
    <w:p w14:paraId="5804040C" w14:textId="14AD6922" w:rsidR="00242713" w:rsidRPr="00FA141A" w:rsidRDefault="00CE5F13" w:rsidP="00272398">
      <w:pPr>
        <w:pStyle w:val="KeinLeerraum"/>
        <w:rPr>
          <w:rFonts w:ascii="Calibri" w:hAnsi="Calibri" w:cs="Calibri"/>
          <w:b/>
          <w:bCs/>
          <w:color w:val="000000" w:themeColor="text1"/>
          <w:sz w:val="22"/>
          <w:szCs w:val="22"/>
        </w:rPr>
      </w:pPr>
      <w:r>
        <w:rPr>
          <w:rFonts w:ascii="Calibri" w:hAnsi="Calibri"/>
          <w:b/>
          <w:color w:val="000000" w:themeColor="text1"/>
          <w:sz w:val="22"/>
        </w:rPr>
        <w:t>NEW: Live product demos at the trade fair stand</w:t>
      </w:r>
    </w:p>
    <w:p w14:paraId="487A7BF9" w14:textId="70F4139F" w:rsidR="00242713" w:rsidRPr="00FA141A" w:rsidRDefault="00242713" w:rsidP="00272398">
      <w:pPr>
        <w:pStyle w:val="KeinLeerraum"/>
        <w:rPr>
          <w:rFonts w:ascii="Calibri" w:hAnsi="Calibri" w:cs="Calibri"/>
          <w:color w:val="000000" w:themeColor="text1"/>
          <w:sz w:val="22"/>
          <w:szCs w:val="22"/>
        </w:rPr>
      </w:pPr>
      <w:r>
        <w:rPr>
          <w:rFonts w:ascii="Calibri" w:hAnsi="Calibri"/>
          <w:color w:val="000000" w:themeColor="text1"/>
          <w:sz w:val="22"/>
        </w:rPr>
        <w:t>For the first time at ISE 2026, Cameo is offering daily live product demos at its trade fair stand. The new series and products will be shown in live use in the short, dynamic shows. The demos will give trade fair visitors a compact and practical insight into the performance of the current Cameo generation and provide a direct comparison of the individual product families and how they interact with each other.</w:t>
      </w:r>
    </w:p>
    <w:p w14:paraId="0B5B69B2" w14:textId="77777777" w:rsidR="00242713" w:rsidRPr="00FA141A" w:rsidRDefault="00242713" w:rsidP="00272398">
      <w:pPr>
        <w:pStyle w:val="KeinLeerraum"/>
        <w:rPr>
          <w:rFonts w:ascii="Calibri" w:hAnsi="Calibri" w:cs="Calibri"/>
          <w:color w:val="000000" w:themeColor="text1"/>
          <w:sz w:val="22"/>
          <w:szCs w:val="22"/>
        </w:rPr>
      </w:pPr>
    </w:p>
    <w:p w14:paraId="4D39F1C0" w14:textId="6C894499" w:rsidR="003742CE" w:rsidRPr="00FA141A" w:rsidRDefault="003742CE" w:rsidP="00272398">
      <w:pPr>
        <w:pStyle w:val="KeinLeerraum"/>
        <w:rPr>
          <w:rFonts w:ascii="Calibri" w:hAnsi="Calibri" w:cs="Calibri"/>
          <w:b/>
          <w:bCs/>
          <w:color w:val="000000" w:themeColor="text1"/>
          <w:sz w:val="22"/>
          <w:szCs w:val="22"/>
        </w:rPr>
      </w:pPr>
      <w:r>
        <w:rPr>
          <w:rFonts w:ascii="Calibri" w:hAnsi="Calibri"/>
          <w:b/>
          <w:color w:val="000000" w:themeColor="text1"/>
          <w:sz w:val="22"/>
        </w:rPr>
        <w:t>Open showroom in Barcelona including free shuttle</w:t>
      </w:r>
    </w:p>
    <w:p w14:paraId="16077D4A" w14:textId="1D9B27C0" w:rsidR="003742CE" w:rsidRPr="00FA141A" w:rsidRDefault="003742CE" w:rsidP="00272398">
      <w:pPr>
        <w:pStyle w:val="KeinLeerraum"/>
        <w:rPr>
          <w:rFonts w:ascii="Calibri" w:hAnsi="Calibri" w:cs="Calibri"/>
          <w:color w:val="000000" w:themeColor="text1"/>
          <w:sz w:val="22"/>
          <w:szCs w:val="22"/>
        </w:rPr>
      </w:pPr>
      <w:r>
        <w:rPr>
          <w:rFonts w:ascii="Calibri" w:hAnsi="Calibri"/>
          <w:color w:val="000000" w:themeColor="text1"/>
          <w:sz w:val="22"/>
        </w:rPr>
        <w:t>This year, the Adam Hall Group is once again opening its showroom in Barcelona during ISE. On Wednesday and Thursday, a convenient free shuttle service will take those interested from the exhibition centre to the showroom, where exclusive presentations and demos will take place from 17:15. Visitors can gather at two meeting points – either the Cameo Stand 6M300 in Hall 6 or the LD Systems Stand 7B700 in Hall 7 – from 16:00. The showroom is also open from Tuesday to Friday from 08:30 to 18:00.</w:t>
      </w:r>
    </w:p>
    <w:p w14:paraId="60634E9C" w14:textId="77777777" w:rsidR="003742CE" w:rsidRPr="00FA141A" w:rsidRDefault="003742CE" w:rsidP="00272398">
      <w:pPr>
        <w:pStyle w:val="KeinLeerraum"/>
        <w:rPr>
          <w:rFonts w:ascii="Calibri" w:hAnsi="Calibri" w:cs="Calibri"/>
          <w:b/>
          <w:bCs/>
          <w:color w:val="000000" w:themeColor="text1"/>
          <w:sz w:val="22"/>
          <w:szCs w:val="22"/>
        </w:rPr>
      </w:pPr>
    </w:p>
    <w:p w14:paraId="56359EFB" w14:textId="0A8D4B15" w:rsidR="00272398" w:rsidRPr="00FA141A" w:rsidRDefault="009B1FC9" w:rsidP="00272398">
      <w:pPr>
        <w:pStyle w:val="KeinLeerraum"/>
        <w:rPr>
          <w:rFonts w:ascii="Calibri" w:hAnsi="Calibri" w:cs="Calibri"/>
          <w:b/>
          <w:bCs/>
          <w:color w:val="000000" w:themeColor="text1"/>
          <w:sz w:val="22"/>
          <w:szCs w:val="22"/>
        </w:rPr>
      </w:pPr>
      <w:r>
        <w:rPr>
          <w:rFonts w:ascii="Calibri" w:hAnsi="Calibri"/>
          <w:b/>
          <w:color w:val="000000" w:themeColor="text1"/>
          <w:sz w:val="22"/>
        </w:rPr>
        <w:t xml:space="preserve">Cameo </w:t>
      </w:r>
      <w:r>
        <w:rPr>
          <w:rFonts w:ascii="Calibri" w:hAnsi="Calibri"/>
          <w:b/>
          <w:color w:val="0D0D0D" w:themeColor="text1" w:themeTint="F2"/>
          <w:sz w:val="22"/>
        </w:rPr>
        <w:t>at ISE 2026:</w:t>
      </w:r>
    </w:p>
    <w:p w14:paraId="6220E616" w14:textId="73AEB8FF" w:rsidR="00272398" w:rsidRPr="00FA141A" w:rsidRDefault="00DA60A2" w:rsidP="00272398">
      <w:pPr>
        <w:pStyle w:val="KeinLeerraum"/>
        <w:rPr>
          <w:rFonts w:ascii="Calibri" w:hAnsi="Calibri" w:cs="Calibri"/>
          <w:color w:val="FF0000"/>
          <w:sz w:val="22"/>
          <w:szCs w:val="22"/>
        </w:rPr>
      </w:pPr>
      <w:r>
        <w:rPr>
          <w:rFonts w:ascii="Calibri" w:hAnsi="Calibri"/>
          <w:color w:val="FF0000"/>
          <w:sz w:val="22"/>
        </w:rPr>
        <w:t>Hall 6, Stand 6M300</w:t>
      </w:r>
    </w:p>
    <w:p w14:paraId="2327D135" w14:textId="77777777" w:rsidR="00272398" w:rsidRPr="00D97B02" w:rsidRDefault="00272398" w:rsidP="00272398">
      <w:pPr>
        <w:pStyle w:val="KeinLeerraum"/>
        <w:rPr>
          <w:rFonts w:ascii="Calibri" w:hAnsi="Calibri" w:cs="Calibri"/>
          <w:color w:val="000000" w:themeColor="text1"/>
          <w:sz w:val="22"/>
          <w:szCs w:val="22"/>
        </w:rPr>
      </w:pPr>
    </w:p>
    <w:p w14:paraId="4991915B" w14:textId="0390DCFF" w:rsidR="00272398" w:rsidRPr="00D97B02" w:rsidRDefault="00272398" w:rsidP="00272398">
      <w:pPr>
        <w:pStyle w:val="KeinLeerraum"/>
        <w:rPr>
          <w:rFonts w:ascii="Calibri" w:hAnsi="Calibri" w:cs="Calibri"/>
          <w:color w:val="000000" w:themeColor="text1"/>
          <w:sz w:val="22"/>
          <w:szCs w:val="22"/>
        </w:rPr>
      </w:pPr>
      <w:r w:rsidRPr="00D97B02">
        <w:rPr>
          <w:rFonts w:ascii="Calibri" w:hAnsi="Calibri"/>
          <w:color w:val="000000" w:themeColor="text1"/>
          <w:sz w:val="22"/>
        </w:rPr>
        <w:t>#Cameo  #ForLumenBeings  #ProLighting  #EventTech  #ExperienceEventTechnology</w:t>
      </w:r>
    </w:p>
    <w:p w14:paraId="70822540" w14:textId="77777777" w:rsidR="00272398" w:rsidRPr="00FA141A" w:rsidRDefault="00272398" w:rsidP="00272398">
      <w:pPr>
        <w:pStyle w:val="KeinLeerraum"/>
        <w:rPr>
          <w:rFonts w:ascii="Calibri" w:hAnsi="Calibri" w:cs="Calibri"/>
          <w:color w:val="0D0D0D" w:themeColor="text1" w:themeTint="F2"/>
          <w:sz w:val="22"/>
          <w:szCs w:val="22"/>
        </w:rPr>
      </w:pPr>
    </w:p>
    <w:p w14:paraId="4BDBF63F" w14:textId="77777777" w:rsidR="00272398" w:rsidRPr="00FA141A" w:rsidRDefault="00272398" w:rsidP="00272398">
      <w:pPr>
        <w:rPr>
          <w:rFonts w:ascii="Calibri" w:hAnsi="Calibri" w:cs="Calibri"/>
          <w:b/>
          <w:sz w:val="22"/>
          <w:szCs w:val="22"/>
        </w:rPr>
      </w:pPr>
      <w:r>
        <w:rPr>
          <w:rFonts w:ascii="Calibri" w:hAnsi="Calibri"/>
          <w:b/>
          <w:sz w:val="22"/>
        </w:rPr>
        <w:t xml:space="preserve">Further information: </w:t>
      </w:r>
    </w:p>
    <w:p w14:paraId="50829B3D" w14:textId="21487CD1" w:rsidR="00272398" w:rsidRPr="00D97B02" w:rsidRDefault="00DA60A2" w:rsidP="00272398">
      <w:pPr>
        <w:rPr>
          <w:rStyle w:val="Hyperlink"/>
          <w:rFonts w:ascii="Calibri" w:hAnsi="Calibri" w:cs="Calibri"/>
          <w:color w:val="000000" w:themeColor="text1"/>
          <w:sz w:val="22"/>
          <w:szCs w:val="22"/>
        </w:rPr>
      </w:pPr>
      <w:hyperlink r:id="rId10" w:history="1">
        <w:r w:rsidRPr="00D97B02">
          <w:rPr>
            <w:rStyle w:val="Hyperlink"/>
            <w:rFonts w:ascii="Calibri" w:hAnsi="Calibri"/>
            <w:color w:val="000000" w:themeColor="text1"/>
            <w:sz w:val="22"/>
          </w:rPr>
          <w:t>iseurope.org</w:t>
        </w:r>
      </w:hyperlink>
    </w:p>
    <w:p w14:paraId="3D8A5085" w14:textId="36B75328" w:rsidR="00272398" w:rsidRPr="00D97B02" w:rsidRDefault="00272398" w:rsidP="00272398">
      <w:pPr>
        <w:rPr>
          <w:rStyle w:val="Hyperlink"/>
          <w:rFonts w:ascii="Calibri" w:hAnsi="Calibri" w:cs="Calibri"/>
          <w:color w:val="000000" w:themeColor="text1"/>
          <w:sz w:val="22"/>
          <w:szCs w:val="22"/>
        </w:rPr>
      </w:pPr>
      <w:hyperlink r:id="rId11" w:history="1">
        <w:r w:rsidRPr="00D97B02">
          <w:rPr>
            <w:rStyle w:val="Hyperlink"/>
            <w:rFonts w:ascii="Calibri" w:hAnsi="Calibri"/>
            <w:color w:val="000000" w:themeColor="text1"/>
            <w:sz w:val="22"/>
          </w:rPr>
          <w:t>cameolight.com</w:t>
        </w:r>
      </w:hyperlink>
    </w:p>
    <w:p w14:paraId="743172BB" w14:textId="77777777" w:rsidR="00272398" w:rsidRPr="00D97B02" w:rsidRDefault="00272398" w:rsidP="00272398">
      <w:pPr>
        <w:rPr>
          <w:rFonts w:ascii="Calibri" w:hAnsi="Calibri" w:cs="Calibri"/>
          <w:b/>
          <w:color w:val="000000" w:themeColor="text1"/>
          <w:sz w:val="22"/>
          <w:szCs w:val="22"/>
        </w:rPr>
      </w:pPr>
    </w:p>
    <w:p w14:paraId="280B7622" w14:textId="77777777" w:rsidR="00272398" w:rsidRPr="00D97B02" w:rsidRDefault="00272398" w:rsidP="00272398">
      <w:pPr>
        <w:rPr>
          <w:rStyle w:val="Hyperlink"/>
          <w:rFonts w:ascii="Calibri" w:eastAsia="Arial" w:hAnsi="Calibri" w:cs="Calibri"/>
          <w:b/>
          <w:bCs/>
          <w:color w:val="000000" w:themeColor="text1"/>
          <w:sz w:val="22"/>
          <w:szCs w:val="22"/>
          <w:u w:val="none"/>
        </w:rPr>
      </w:pPr>
      <w:hyperlink r:id="rId12" w:history="1">
        <w:r w:rsidRPr="00D97B02">
          <w:rPr>
            <w:rStyle w:val="Hyperlink"/>
            <w:rFonts w:ascii="Calibri" w:hAnsi="Calibri"/>
            <w:color w:val="000000" w:themeColor="text1"/>
            <w:sz w:val="22"/>
          </w:rPr>
          <w:t>adamhall.com</w:t>
        </w:r>
      </w:hyperlink>
      <w:r w:rsidRPr="00D97B02">
        <w:rPr>
          <w:rFonts w:ascii="Calibri" w:hAnsi="Calibri"/>
          <w:color w:val="000000" w:themeColor="text1"/>
          <w:sz w:val="22"/>
          <w:szCs w:val="22"/>
          <w:u w:val="single"/>
        </w:rPr>
        <w:br/>
      </w:r>
      <w:hyperlink r:id="rId13" w:history="1">
        <w:r w:rsidRPr="00D97B02">
          <w:rPr>
            <w:rStyle w:val="Hyperlink"/>
            <w:rFonts w:ascii="Calibri" w:hAnsi="Calibri"/>
            <w:color w:val="000000" w:themeColor="text1"/>
            <w:sz w:val="22"/>
          </w:rPr>
          <w:t>blog.adamhall.com</w:t>
        </w:r>
      </w:hyperlink>
    </w:p>
    <w:p w14:paraId="553130F3" w14:textId="77777777" w:rsidR="00035C36" w:rsidRPr="00187921" w:rsidRDefault="00035C36" w:rsidP="004330C6">
      <w:pPr>
        <w:rPr>
          <w:rStyle w:val="Hyperlink"/>
          <w:rFonts w:ascii="Calibri" w:eastAsia="Arial" w:hAnsi="Calibri"/>
          <w:color w:val="00B0F0"/>
          <w:sz w:val="22"/>
        </w:rPr>
      </w:pPr>
    </w:p>
    <w:p w14:paraId="3FF340A4" w14:textId="77777777" w:rsidR="00D97B02" w:rsidRPr="00766A18" w:rsidRDefault="00D97B02" w:rsidP="00D97B02">
      <w:pPr>
        <w:pStyle w:val="KeinLeerraum"/>
        <w:rPr>
          <w:rFonts w:ascii="Calibri" w:hAnsi="Calibri"/>
          <w:b/>
          <w:color w:val="808080"/>
          <w:sz w:val="18"/>
        </w:rPr>
      </w:pPr>
      <w:r>
        <w:rPr>
          <w:rFonts w:ascii="Calibri" w:hAnsi="Calibri"/>
          <w:b/>
          <w:color w:val="808080"/>
          <w:sz w:val="18"/>
        </w:rPr>
        <w:t>About the Adam Hall Group</w:t>
      </w:r>
    </w:p>
    <w:p w14:paraId="7203A95E" w14:textId="77777777" w:rsidR="00D97B02" w:rsidRPr="00D31732" w:rsidRDefault="00D97B02" w:rsidP="00D97B02">
      <w:pPr>
        <w:pStyle w:val="KeinLeerraum"/>
        <w:rPr>
          <w:rFonts w:ascii="Calibri" w:hAnsi="Calibri"/>
          <w:color w:val="808080"/>
          <w:sz w:val="18"/>
        </w:rPr>
      </w:pPr>
      <w:r>
        <w:rPr>
          <w:rFonts w:ascii="Calibri" w:hAnsi="Calibri"/>
          <w:color w:val="808080"/>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sidRPr="00766A18">
        <w:rPr>
          <w:rFonts w:ascii="Calibri" w:hAnsi="Calibri"/>
          <w:b/>
          <w:color w:val="808080"/>
          <w:sz w:val="18"/>
        </w:rPr>
        <w:t xml:space="preserve"> LD Systems®, Cameo®, Gravity®, Defender®, Palmer®, and Adam Hall®,</w:t>
      </w:r>
      <w:r>
        <w:rPr>
          <w:rFonts w:ascii="Calibri" w:hAnsi="Calibri"/>
          <w:color w:val="808080"/>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iF Industrie Forum Design. In cooperation with the design agency F. A. Porsche, LD Systems® shows the future of pro audio design with its iconic MAUI® P900 column speakers and was recently honoured with the coveted German Design </w:t>
      </w:r>
      <w:r>
        <w:rPr>
          <w:rFonts w:ascii="Calibri" w:hAnsi="Calibri"/>
          <w:color w:val="808080"/>
          <w:sz w:val="18"/>
        </w:rPr>
        <w:lastRenderedPageBreak/>
        <w:t xml:space="preserve">Award. Further information about the Adam Hall Group can be found online at </w:t>
      </w:r>
      <w:hyperlink r:id="rId14">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25629636" w:rsidR="000C2D39" w:rsidRPr="00FA141A" w:rsidRDefault="000C2D39" w:rsidP="00B21639">
      <w:pPr>
        <w:pStyle w:val="KeinLeerraum"/>
        <w:rPr>
          <w:rFonts w:ascii="Arial" w:hAnsi="Arial"/>
          <w:sz w:val="20"/>
        </w:rPr>
      </w:pPr>
    </w:p>
    <w:sectPr w:rsidR="000C2D39" w:rsidRPr="00FA141A"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A7B51" w14:textId="77777777" w:rsidR="00125345" w:rsidRDefault="00125345" w:rsidP="004330C6">
      <w:r>
        <w:separator/>
      </w:r>
    </w:p>
  </w:endnote>
  <w:endnote w:type="continuationSeparator" w:id="0">
    <w:p w14:paraId="26B7F98D" w14:textId="77777777" w:rsidR="00125345" w:rsidRDefault="00125345" w:rsidP="004330C6">
      <w:r>
        <w:continuationSeparator/>
      </w:r>
    </w:p>
  </w:endnote>
  <w:endnote w:type="continuationNotice" w:id="1">
    <w:p w14:paraId="0055D9FB" w14:textId="77777777" w:rsidR="00125345" w:rsidRDefault="00125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125345">
    <w:pPr>
      <w:pStyle w:val="Fuzeile"/>
    </w:pPr>
    <w:r>
      <w:rPr>
        <w:noProof/>
      </w:rPr>
      <w:pict w14:anchorId="44A0E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0F835" w14:textId="77777777" w:rsidR="00125345" w:rsidRDefault="00125345" w:rsidP="004330C6">
      <w:r>
        <w:separator/>
      </w:r>
    </w:p>
  </w:footnote>
  <w:footnote w:type="continuationSeparator" w:id="0">
    <w:p w14:paraId="0BAF29C9" w14:textId="77777777" w:rsidR="00125345" w:rsidRDefault="00125345" w:rsidP="004330C6">
      <w:r>
        <w:continuationSeparator/>
      </w:r>
    </w:p>
  </w:footnote>
  <w:footnote w:type="continuationNotice" w:id="1">
    <w:p w14:paraId="69C5F362" w14:textId="77777777" w:rsidR="00125345" w:rsidRDefault="001253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6CEDB79B">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397457"/>
    <w:multiLevelType w:val="multilevel"/>
    <w:tmpl w:val="1EBE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0968182">
    <w:abstractNumId w:val="1"/>
  </w:num>
  <w:num w:numId="2" w16cid:durableId="2142460454">
    <w:abstractNumId w:val="11"/>
  </w:num>
  <w:num w:numId="3" w16cid:durableId="778568193">
    <w:abstractNumId w:val="7"/>
  </w:num>
  <w:num w:numId="4" w16cid:durableId="1420516970">
    <w:abstractNumId w:val="13"/>
  </w:num>
  <w:num w:numId="5" w16cid:durableId="563224563">
    <w:abstractNumId w:val="4"/>
  </w:num>
  <w:num w:numId="6" w16cid:durableId="293677927">
    <w:abstractNumId w:val="5"/>
  </w:num>
  <w:num w:numId="7" w16cid:durableId="1916864066">
    <w:abstractNumId w:val="15"/>
  </w:num>
  <w:num w:numId="8" w16cid:durableId="1946421299">
    <w:abstractNumId w:val="6"/>
  </w:num>
  <w:num w:numId="9" w16cid:durableId="603999433">
    <w:abstractNumId w:val="14"/>
  </w:num>
  <w:num w:numId="10" w16cid:durableId="1348021192">
    <w:abstractNumId w:val="3"/>
  </w:num>
  <w:num w:numId="11" w16cid:durableId="315573353">
    <w:abstractNumId w:val="12"/>
  </w:num>
  <w:num w:numId="12" w16cid:durableId="1562326790">
    <w:abstractNumId w:val="9"/>
  </w:num>
  <w:num w:numId="13" w16cid:durableId="226842807">
    <w:abstractNumId w:val="17"/>
  </w:num>
  <w:num w:numId="14" w16cid:durableId="1430278190">
    <w:abstractNumId w:val="0"/>
  </w:num>
  <w:num w:numId="15" w16cid:durableId="88344740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350029113">
    <w:abstractNumId w:val="8"/>
  </w:num>
  <w:num w:numId="17" w16cid:durableId="2007130347">
    <w:abstractNumId w:val="2"/>
  </w:num>
  <w:num w:numId="18" w16cid:durableId="1843934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3AAC"/>
    <w:rsid w:val="00004222"/>
    <w:rsid w:val="000064B6"/>
    <w:rsid w:val="00010D62"/>
    <w:rsid w:val="00012478"/>
    <w:rsid w:val="0001272F"/>
    <w:rsid w:val="00016A96"/>
    <w:rsid w:val="0002119C"/>
    <w:rsid w:val="0002205A"/>
    <w:rsid w:val="000310C8"/>
    <w:rsid w:val="00031E80"/>
    <w:rsid w:val="000352E0"/>
    <w:rsid w:val="0003571C"/>
    <w:rsid w:val="00035C36"/>
    <w:rsid w:val="00042DFF"/>
    <w:rsid w:val="000619FA"/>
    <w:rsid w:val="00062A99"/>
    <w:rsid w:val="00063E65"/>
    <w:rsid w:val="000818EA"/>
    <w:rsid w:val="00086C2C"/>
    <w:rsid w:val="000924F0"/>
    <w:rsid w:val="00092CF3"/>
    <w:rsid w:val="00092E57"/>
    <w:rsid w:val="000931C7"/>
    <w:rsid w:val="00093AB0"/>
    <w:rsid w:val="00094AE6"/>
    <w:rsid w:val="000A5344"/>
    <w:rsid w:val="000B4089"/>
    <w:rsid w:val="000C2D39"/>
    <w:rsid w:val="000C5BAB"/>
    <w:rsid w:val="000C6A86"/>
    <w:rsid w:val="000D0529"/>
    <w:rsid w:val="000E3EBF"/>
    <w:rsid w:val="001037E7"/>
    <w:rsid w:val="00103F7F"/>
    <w:rsid w:val="001043B2"/>
    <w:rsid w:val="00111329"/>
    <w:rsid w:val="001120BB"/>
    <w:rsid w:val="001147DE"/>
    <w:rsid w:val="00117B88"/>
    <w:rsid w:val="00124F49"/>
    <w:rsid w:val="00125345"/>
    <w:rsid w:val="00131BD6"/>
    <w:rsid w:val="00132232"/>
    <w:rsid w:val="00134EF8"/>
    <w:rsid w:val="00135BAE"/>
    <w:rsid w:val="00142325"/>
    <w:rsid w:val="0014332E"/>
    <w:rsid w:val="001452D7"/>
    <w:rsid w:val="00145E8F"/>
    <w:rsid w:val="00150359"/>
    <w:rsid w:val="001543F7"/>
    <w:rsid w:val="00164685"/>
    <w:rsid w:val="001656BC"/>
    <w:rsid w:val="00167C05"/>
    <w:rsid w:val="00170621"/>
    <w:rsid w:val="00175DBD"/>
    <w:rsid w:val="0018014A"/>
    <w:rsid w:val="001805B7"/>
    <w:rsid w:val="00183DE8"/>
    <w:rsid w:val="00184D8B"/>
    <w:rsid w:val="00187921"/>
    <w:rsid w:val="001905C4"/>
    <w:rsid w:val="00190662"/>
    <w:rsid w:val="00197BE9"/>
    <w:rsid w:val="001A13F6"/>
    <w:rsid w:val="001A1584"/>
    <w:rsid w:val="001B0461"/>
    <w:rsid w:val="001B40F4"/>
    <w:rsid w:val="001B7E2C"/>
    <w:rsid w:val="001C5825"/>
    <w:rsid w:val="001C5D7F"/>
    <w:rsid w:val="001D3566"/>
    <w:rsid w:val="001D5AE7"/>
    <w:rsid w:val="001D6F99"/>
    <w:rsid w:val="001D70D4"/>
    <w:rsid w:val="001E51CC"/>
    <w:rsid w:val="001F0E84"/>
    <w:rsid w:val="00200720"/>
    <w:rsid w:val="0020235E"/>
    <w:rsid w:val="002034DB"/>
    <w:rsid w:val="00206390"/>
    <w:rsid w:val="002065E7"/>
    <w:rsid w:val="00207525"/>
    <w:rsid w:val="0021027A"/>
    <w:rsid w:val="00213248"/>
    <w:rsid w:val="00215123"/>
    <w:rsid w:val="002171CF"/>
    <w:rsid w:val="002176EA"/>
    <w:rsid w:val="00220ABA"/>
    <w:rsid w:val="00226006"/>
    <w:rsid w:val="00231AC9"/>
    <w:rsid w:val="00242713"/>
    <w:rsid w:val="00243B58"/>
    <w:rsid w:val="0024709A"/>
    <w:rsid w:val="002472F5"/>
    <w:rsid w:val="00247B14"/>
    <w:rsid w:val="00247EDB"/>
    <w:rsid w:val="00253E5A"/>
    <w:rsid w:val="00262160"/>
    <w:rsid w:val="0026474A"/>
    <w:rsid w:val="00265079"/>
    <w:rsid w:val="00270D0A"/>
    <w:rsid w:val="00272398"/>
    <w:rsid w:val="00272775"/>
    <w:rsid w:val="0027394B"/>
    <w:rsid w:val="00283958"/>
    <w:rsid w:val="00285810"/>
    <w:rsid w:val="00294873"/>
    <w:rsid w:val="002956B9"/>
    <w:rsid w:val="002A42E8"/>
    <w:rsid w:val="002A71BC"/>
    <w:rsid w:val="002B1BE7"/>
    <w:rsid w:val="002B2157"/>
    <w:rsid w:val="002B49DF"/>
    <w:rsid w:val="002B520A"/>
    <w:rsid w:val="002B60DB"/>
    <w:rsid w:val="002B643C"/>
    <w:rsid w:val="002C32D6"/>
    <w:rsid w:val="002D0DB5"/>
    <w:rsid w:val="002D2090"/>
    <w:rsid w:val="002D3572"/>
    <w:rsid w:val="002D3E93"/>
    <w:rsid w:val="002D3FAB"/>
    <w:rsid w:val="002D4A1E"/>
    <w:rsid w:val="002E36D1"/>
    <w:rsid w:val="002F04B0"/>
    <w:rsid w:val="002F20E1"/>
    <w:rsid w:val="002F391E"/>
    <w:rsid w:val="00300331"/>
    <w:rsid w:val="00302508"/>
    <w:rsid w:val="00310398"/>
    <w:rsid w:val="00311FA5"/>
    <w:rsid w:val="00317208"/>
    <w:rsid w:val="003406E6"/>
    <w:rsid w:val="00340CFE"/>
    <w:rsid w:val="003458A7"/>
    <w:rsid w:val="00346B0F"/>
    <w:rsid w:val="003520A7"/>
    <w:rsid w:val="00362474"/>
    <w:rsid w:val="003716B9"/>
    <w:rsid w:val="0037330B"/>
    <w:rsid w:val="00373856"/>
    <w:rsid w:val="0037421A"/>
    <w:rsid w:val="003742CE"/>
    <w:rsid w:val="003817D3"/>
    <w:rsid w:val="003834DC"/>
    <w:rsid w:val="003864D6"/>
    <w:rsid w:val="00387B2C"/>
    <w:rsid w:val="00387F10"/>
    <w:rsid w:val="00390EAD"/>
    <w:rsid w:val="00391FEB"/>
    <w:rsid w:val="003920A4"/>
    <w:rsid w:val="0039213C"/>
    <w:rsid w:val="003976C8"/>
    <w:rsid w:val="003B6792"/>
    <w:rsid w:val="003C3F56"/>
    <w:rsid w:val="003C553A"/>
    <w:rsid w:val="003C6A37"/>
    <w:rsid w:val="003C6DB3"/>
    <w:rsid w:val="003C7650"/>
    <w:rsid w:val="003D4E4E"/>
    <w:rsid w:val="003D62DB"/>
    <w:rsid w:val="003E4B2D"/>
    <w:rsid w:val="003E5409"/>
    <w:rsid w:val="003F01FC"/>
    <w:rsid w:val="003F6959"/>
    <w:rsid w:val="00402316"/>
    <w:rsid w:val="004037C1"/>
    <w:rsid w:val="00411C01"/>
    <w:rsid w:val="00412809"/>
    <w:rsid w:val="00416379"/>
    <w:rsid w:val="0042095F"/>
    <w:rsid w:val="00422766"/>
    <w:rsid w:val="00425BF7"/>
    <w:rsid w:val="00426BBE"/>
    <w:rsid w:val="00431609"/>
    <w:rsid w:val="00432C94"/>
    <w:rsid w:val="004330C6"/>
    <w:rsid w:val="0043733D"/>
    <w:rsid w:val="00441893"/>
    <w:rsid w:val="00445DF3"/>
    <w:rsid w:val="00446A34"/>
    <w:rsid w:val="00447AE8"/>
    <w:rsid w:val="004522B3"/>
    <w:rsid w:val="004624FD"/>
    <w:rsid w:val="00463E45"/>
    <w:rsid w:val="0046543C"/>
    <w:rsid w:val="004701AE"/>
    <w:rsid w:val="00471643"/>
    <w:rsid w:val="00474959"/>
    <w:rsid w:val="004816E2"/>
    <w:rsid w:val="00481747"/>
    <w:rsid w:val="0048445A"/>
    <w:rsid w:val="00484CED"/>
    <w:rsid w:val="00485602"/>
    <w:rsid w:val="004858F2"/>
    <w:rsid w:val="00486140"/>
    <w:rsid w:val="004968EC"/>
    <w:rsid w:val="004A2550"/>
    <w:rsid w:val="004A3360"/>
    <w:rsid w:val="004A427E"/>
    <w:rsid w:val="004A5441"/>
    <w:rsid w:val="004B4F0E"/>
    <w:rsid w:val="004C0829"/>
    <w:rsid w:val="004D40EB"/>
    <w:rsid w:val="004D54E9"/>
    <w:rsid w:val="004E554F"/>
    <w:rsid w:val="004F0C74"/>
    <w:rsid w:val="004F2652"/>
    <w:rsid w:val="004F5412"/>
    <w:rsid w:val="004F6957"/>
    <w:rsid w:val="004F7215"/>
    <w:rsid w:val="00507E4C"/>
    <w:rsid w:val="00511F42"/>
    <w:rsid w:val="005121C5"/>
    <w:rsid w:val="00512376"/>
    <w:rsid w:val="00512A72"/>
    <w:rsid w:val="0051517B"/>
    <w:rsid w:val="00516E70"/>
    <w:rsid w:val="005208EC"/>
    <w:rsid w:val="00534F54"/>
    <w:rsid w:val="00546AE6"/>
    <w:rsid w:val="005513C5"/>
    <w:rsid w:val="00554F86"/>
    <w:rsid w:val="0056153C"/>
    <w:rsid w:val="00562A6E"/>
    <w:rsid w:val="00570381"/>
    <w:rsid w:val="00570AEC"/>
    <w:rsid w:val="005744F5"/>
    <w:rsid w:val="005745EA"/>
    <w:rsid w:val="00576210"/>
    <w:rsid w:val="0057690B"/>
    <w:rsid w:val="00576994"/>
    <w:rsid w:val="005947D3"/>
    <w:rsid w:val="005A50AF"/>
    <w:rsid w:val="005B49DD"/>
    <w:rsid w:val="005B692A"/>
    <w:rsid w:val="005B6D92"/>
    <w:rsid w:val="005B7BB6"/>
    <w:rsid w:val="005C3632"/>
    <w:rsid w:val="005C44D3"/>
    <w:rsid w:val="005C4A93"/>
    <w:rsid w:val="005C5531"/>
    <w:rsid w:val="005D45A1"/>
    <w:rsid w:val="005E6B37"/>
    <w:rsid w:val="005F2899"/>
    <w:rsid w:val="005F3FF6"/>
    <w:rsid w:val="005F62D8"/>
    <w:rsid w:val="00600743"/>
    <w:rsid w:val="00610CDC"/>
    <w:rsid w:val="00613BA5"/>
    <w:rsid w:val="00614232"/>
    <w:rsid w:val="0063132F"/>
    <w:rsid w:val="00633CC0"/>
    <w:rsid w:val="00640BCD"/>
    <w:rsid w:val="00645AA1"/>
    <w:rsid w:val="0064639D"/>
    <w:rsid w:val="006467A5"/>
    <w:rsid w:val="00650DAB"/>
    <w:rsid w:val="00652A61"/>
    <w:rsid w:val="0066310C"/>
    <w:rsid w:val="00671287"/>
    <w:rsid w:val="00674E8B"/>
    <w:rsid w:val="006811A8"/>
    <w:rsid w:val="006813B3"/>
    <w:rsid w:val="00683F82"/>
    <w:rsid w:val="00691110"/>
    <w:rsid w:val="00691318"/>
    <w:rsid w:val="006A2793"/>
    <w:rsid w:val="006A40DE"/>
    <w:rsid w:val="006A4552"/>
    <w:rsid w:val="006A79E8"/>
    <w:rsid w:val="006C2799"/>
    <w:rsid w:val="006C45CF"/>
    <w:rsid w:val="006C66A2"/>
    <w:rsid w:val="006C695E"/>
    <w:rsid w:val="006D2E7A"/>
    <w:rsid w:val="006D52CD"/>
    <w:rsid w:val="006E2CFE"/>
    <w:rsid w:val="006E3F60"/>
    <w:rsid w:val="006E651F"/>
    <w:rsid w:val="006E6906"/>
    <w:rsid w:val="006E755A"/>
    <w:rsid w:val="006E767C"/>
    <w:rsid w:val="006E7A7C"/>
    <w:rsid w:val="006F7A48"/>
    <w:rsid w:val="007009A4"/>
    <w:rsid w:val="00700CFB"/>
    <w:rsid w:val="00706804"/>
    <w:rsid w:val="00706FBB"/>
    <w:rsid w:val="00710F45"/>
    <w:rsid w:val="007153F5"/>
    <w:rsid w:val="0071647D"/>
    <w:rsid w:val="0072045B"/>
    <w:rsid w:val="00721C7D"/>
    <w:rsid w:val="007220BC"/>
    <w:rsid w:val="0072231E"/>
    <w:rsid w:val="00723BDD"/>
    <w:rsid w:val="0073211E"/>
    <w:rsid w:val="00735620"/>
    <w:rsid w:val="00740110"/>
    <w:rsid w:val="00742C5E"/>
    <w:rsid w:val="00742E6F"/>
    <w:rsid w:val="00743493"/>
    <w:rsid w:val="00743D30"/>
    <w:rsid w:val="00745291"/>
    <w:rsid w:val="00751CBA"/>
    <w:rsid w:val="00753925"/>
    <w:rsid w:val="0075799E"/>
    <w:rsid w:val="00757B2E"/>
    <w:rsid w:val="00764FE0"/>
    <w:rsid w:val="0077003A"/>
    <w:rsid w:val="00771135"/>
    <w:rsid w:val="0077345C"/>
    <w:rsid w:val="00775BF5"/>
    <w:rsid w:val="00780A4D"/>
    <w:rsid w:val="00786582"/>
    <w:rsid w:val="00787AEB"/>
    <w:rsid w:val="007907BE"/>
    <w:rsid w:val="00794BD0"/>
    <w:rsid w:val="007B2A97"/>
    <w:rsid w:val="007B6AB4"/>
    <w:rsid w:val="007B788E"/>
    <w:rsid w:val="007C398C"/>
    <w:rsid w:val="007C51E2"/>
    <w:rsid w:val="007C6526"/>
    <w:rsid w:val="007C73B0"/>
    <w:rsid w:val="007C7643"/>
    <w:rsid w:val="007D2567"/>
    <w:rsid w:val="007D7278"/>
    <w:rsid w:val="007D7F23"/>
    <w:rsid w:val="007E04F9"/>
    <w:rsid w:val="007E4B69"/>
    <w:rsid w:val="007F70F6"/>
    <w:rsid w:val="007F7D01"/>
    <w:rsid w:val="008015C5"/>
    <w:rsid w:val="00801D20"/>
    <w:rsid w:val="00806772"/>
    <w:rsid w:val="008209B3"/>
    <w:rsid w:val="00821AA6"/>
    <w:rsid w:val="008223FE"/>
    <w:rsid w:val="008265E6"/>
    <w:rsid w:val="00827FBE"/>
    <w:rsid w:val="0083396D"/>
    <w:rsid w:val="00836A2C"/>
    <w:rsid w:val="00837CE6"/>
    <w:rsid w:val="00840293"/>
    <w:rsid w:val="008441A8"/>
    <w:rsid w:val="008474CD"/>
    <w:rsid w:val="008569D6"/>
    <w:rsid w:val="00860075"/>
    <w:rsid w:val="008635C3"/>
    <w:rsid w:val="008709DD"/>
    <w:rsid w:val="00872F41"/>
    <w:rsid w:val="00873F37"/>
    <w:rsid w:val="00886A71"/>
    <w:rsid w:val="0089508C"/>
    <w:rsid w:val="00895C63"/>
    <w:rsid w:val="008A0CC1"/>
    <w:rsid w:val="008A549C"/>
    <w:rsid w:val="008B1692"/>
    <w:rsid w:val="008B3A31"/>
    <w:rsid w:val="008B3A4A"/>
    <w:rsid w:val="008C1026"/>
    <w:rsid w:val="008C5A92"/>
    <w:rsid w:val="008D22AA"/>
    <w:rsid w:val="008D4769"/>
    <w:rsid w:val="008D5D01"/>
    <w:rsid w:val="008D7302"/>
    <w:rsid w:val="008D7BC7"/>
    <w:rsid w:val="008E0434"/>
    <w:rsid w:val="008E12E9"/>
    <w:rsid w:val="008E327B"/>
    <w:rsid w:val="008F12AC"/>
    <w:rsid w:val="008F2D79"/>
    <w:rsid w:val="008F3AD1"/>
    <w:rsid w:val="008F3B94"/>
    <w:rsid w:val="008F526C"/>
    <w:rsid w:val="00904362"/>
    <w:rsid w:val="00905794"/>
    <w:rsid w:val="0091013D"/>
    <w:rsid w:val="00913A6C"/>
    <w:rsid w:val="0091412C"/>
    <w:rsid w:val="00915E45"/>
    <w:rsid w:val="00916F1C"/>
    <w:rsid w:val="00920BFE"/>
    <w:rsid w:val="00921981"/>
    <w:rsid w:val="00921E94"/>
    <w:rsid w:val="009242E1"/>
    <w:rsid w:val="0092757C"/>
    <w:rsid w:val="00933D02"/>
    <w:rsid w:val="009340B6"/>
    <w:rsid w:val="00936209"/>
    <w:rsid w:val="00936488"/>
    <w:rsid w:val="009436CA"/>
    <w:rsid w:val="0095102E"/>
    <w:rsid w:val="0095148D"/>
    <w:rsid w:val="0095536E"/>
    <w:rsid w:val="00955763"/>
    <w:rsid w:val="009564F8"/>
    <w:rsid w:val="009643EB"/>
    <w:rsid w:val="009670BE"/>
    <w:rsid w:val="00972771"/>
    <w:rsid w:val="0097368B"/>
    <w:rsid w:val="009778CC"/>
    <w:rsid w:val="00980DE3"/>
    <w:rsid w:val="00983E6C"/>
    <w:rsid w:val="00997D0E"/>
    <w:rsid w:val="009A012C"/>
    <w:rsid w:val="009A02E5"/>
    <w:rsid w:val="009A2661"/>
    <w:rsid w:val="009A3315"/>
    <w:rsid w:val="009A514D"/>
    <w:rsid w:val="009B1E5B"/>
    <w:rsid w:val="009B1FC9"/>
    <w:rsid w:val="009B25F3"/>
    <w:rsid w:val="009B56F9"/>
    <w:rsid w:val="009B791C"/>
    <w:rsid w:val="009C2121"/>
    <w:rsid w:val="009C592C"/>
    <w:rsid w:val="009D2B82"/>
    <w:rsid w:val="009D427F"/>
    <w:rsid w:val="009D56CC"/>
    <w:rsid w:val="009D6801"/>
    <w:rsid w:val="009E41F8"/>
    <w:rsid w:val="009E7449"/>
    <w:rsid w:val="009F0FB4"/>
    <w:rsid w:val="009F54F4"/>
    <w:rsid w:val="009F6886"/>
    <w:rsid w:val="00A04698"/>
    <w:rsid w:val="00A062C9"/>
    <w:rsid w:val="00A07BAF"/>
    <w:rsid w:val="00A13149"/>
    <w:rsid w:val="00A17E32"/>
    <w:rsid w:val="00A230AE"/>
    <w:rsid w:val="00A26BDE"/>
    <w:rsid w:val="00A30243"/>
    <w:rsid w:val="00A51B43"/>
    <w:rsid w:val="00A57A45"/>
    <w:rsid w:val="00A60861"/>
    <w:rsid w:val="00A65CF8"/>
    <w:rsid w:val="00A67407"/>
    <w:rsid w:val="00A717EB"/>
    <w:rsid w:val="00A71B6D"/>
    <w:rsid w:val="00A738EB"/>
    <w:rsid w:val="00A90641"/>
    <w:rsid w:val="00A947D9"/>
    <w:rsid w:val="00AB04C6"/>
    <w:rsid w:val="00AB080D"/>
    <w:rsid w:val="00AB119D"/>
    <w:rsid w:val="00AB488B"/>
    <w:rsid w:val="00AB5CA0"/>
    <w:rsid w:val="00AC2F05"/>
    <w:rsid w:val="00AC3AC3"/>
    <w:rsid w:val="00AC6A98"/>
    <w:rsid w:val="00AC74CF"/>
    <w:rsid w:val="00AD27D1"/>
    <w:rsid w:val="00AD56FA"/>
    <w:rsid w:val="00AE0BCA"/>
    <w:rsid w:val="00AE1447"/>
    <w:rsid w:val="00AE3FDF"/>
    <w:rsid w:val="00AE550C"/>
    <w:rsid w:val="00AE5AA2"/>
    <w:rsid w:val="00AE70E8"/>
    <w:rsid w:val="00AF014B"/>
    <w:rsid w:val="00AF458C"/>
    <w:rsid w:val="00AF5B54"/>
    <w:rsid w:val="00AF613A"/>
    <w:rsid w:val="00AF722F"/>
    <w:rsid w:val="00B10CED"/>
    <w:rsid w:val="00B21091"/>
    <w:rsid w:val="00B21639"/>
    <w:rsid w:val="00B24C7E"/>
    <w:rsid w:val="00B33379"/>
    <w:rsid w:val="00B42DDB"/>
    <w:rsid w:val="00B43B48"/>
    <w:rsid w:val="00B54777"/>
    <w:rsid w:val="00B61B8C"/>
    <w:rsid w:val="00B63E7A"/>
    <w:rsid w:val="00B644A7"/>
    <w:rsid w:val="00B65C34"/>
    <w:rsid w:val="00B67E3B"/>
    <w:rsid w:val="00B7042A"/>
    <w:rsid w:val="00B712D5"/>
    <w:rsid w:val="00B74DAC"/>
    <w:rsid w:val="00B74E32"/>
    <w:rsid w:val="00B7515D"/>
    <w:rsid w:val="00B76096"/>
    <w:rsid w:val="00B823C9"/>
    <w:rsid w:val="00B86C3F"/>
    <w:rsid w:val="00B943F0"/>
    <w:rsid w:val="00B95AEC"/>
    <w:rsid w:val="00B96A50"/>
    <w:rsid w:val="00BA6419"/>
    <w:rsid w:val="00BA750F"/>
    <w:rsid w:val="00BA761B"/>
    <w:rsid w:val="00BB0790"/>
    <w:rsid w:val="00BB56CB"/>
    <w:rsid w:val="00BB634E"/>
    <w:rsid w:val="00BC2C84"/>
    <w:rsid w:val="00BC3124"/>
    <w:rsid w:val="00BC6AB1"/>
    <w:rsid w:val="00BD18F0"/>
    <w:rsid w:val="00BD4D95"/>
    <w:rsid w:val="00BF0375"/>
    <w:rsid w:val="00BF34F3"/>
    <w:rsid w:val="00C028A4"/>
    <w:rsid w:val="00C07F9F"/>
    <w:rsid w:val="00C1312E"/>
    <w:rsid w:val="00C1480B"/>
    <w:rsid w:val="00C153B7"/>
    <w:rsid w:val="00C1680C"/>
    <w:rsid w:val="00C20116"/>
    <w:rsid w:val="00C2018B"/>
    <w:rsid w:val="00C246A8"/>
    <w:rsid w:val="00C27E57"/>
    <w:rsid w:val="00C3535E"/>
    <w:rsid w:val="00C35A97"/>
    <w:rsid w:val="00C40D0D"/>
    <w:rsid w:val="00C432CE"/>
    <w:rsid w:val="00C4796C"/>
    <w:rsid w:val="00C47DE7"/>
    <w:rsid w:val="00C6080C"/>
    <w:rsid w:val="00C6125D"/>
    <w:rsid w:val="00C66F10"/>
    <w:rsid w:val="00C723D5"/>
    <w:rsid w:val="00C75511"/>
    <w:rsid w:val="00C77231"/>
    <w:rsid w:val="00C81614"/>
    <w:rsid w:val="00C85C87"/>
    <w:rsid w:val="00C86618"/>
    <w:rsid w:val="00C86B66"/>
    <w:rsid w:val="00C87824"/>
    <w:rsid w:val="00CA04B3"/>
    <w:rsid w:val="00CA3F1E"/>
    <w:rsid w:val="00CB3E46"/>
    <w:rsid w:val="00CB5540"/>
    <w:rsid w:val="00CB634F"/>
    <w:rsid w:val="00CC4FA9"/>
    <w:rsid w:val="00CD0813"/>
    <w:rsid w:val="00CD5B1B"/>
    <w:rsid w:val="00CD78B4"/>
    <w:rsid w:val="00CD7F15"/>
    <w:rsid w:val="00CD7F18"/>
    <w:rsid w:val="00CE5003"/>
    <w:rsid w:val="00CE5AD3"/>
    <w:rsid w:val="00CE5F13"/>
    <w:rsid w:val="00CE661E"/>
    <w:rsid w:val="00CE7BA5"/>
    <w:rsid w:val="00CF242E"/>
    <w:rsid w:val="00CF4043"/>
    <w:rsid w:val="00D00355"/>
    <w:rsid w:val="00D0524B"/>
    <w:rsid w:val="00D12B39"/>
    <w:rsid w:val="00D13962"/>
    <w:rsid w:val="00D1525D"/>
    <w:rsid w:val="00D178AD"/>
    <w:rsid w:val="00D20244"/>
    <w:rsid w:val="00D2325E"/>
    <w:rsid w:val="00D23800"/>
    <w:rsid w:val="00D26601"/>
    <w:rsid w:val="00D3148F"/>
    <w:rsid w:val="00D3468C"/>
    <w:rsid w:val="00D36541"/>
    <w:rsid w:val="00D36AF1"/>
    <w:rsid w:val="00D37E7B"/>
    <w:rsid w:val="00D410FB"/>
    <w:rsid w:val="00D42274"/>
    <w:rsid w:val="00D45AF7"/>
    <w:rsid w:val="00D52D14"/>
    <w:rsid w:val="00D53C40"/>
    <w:rsid w:val="00D60C13"/>
    <w:rsid w:val="00D60CED"/>
    <w:rsid w:val="00D63A24"/>
    <w:rsid w:val="00D66E92"/>
    <w:rsid w:val="00D7212C"/>
    <w:rsid w:val="00D7273A"/>
    <w:rsid w:val="00D7514C"/>
    <w:rsid w:val="00D76D8D"/>
    <w:rsid w:val="00D80EE3"/>
    <w:rsid w:val="00D83233"/>
    <w:rsid w:val="00D832F5"/>
    <w:rsid w:val="00D871A6"/>
    <w:rsid w:val="00D87DE6"/>
    <w:rsid w:val="00D910C8"/>
    <w:rsid w:val="00D915C1"/>
    <w:rsid w:val="00D928EB"/>
    <w:rsid w:val="00D94A80"/>
    <w:rsid w:val="00D97B02"/>
    <w:rsid w:val="00DA2287"/>
    <w:rsid w:val="00DA60A2"/>
    <w:rsid w:val="00DA7796"/>
    <w:rsid w:val="00DB37E7"/>
    <w:rsid w:val="00DB3F8E"/>
    <w:rsid w:val="00DC116E"/>
    <w:rsid w:val="00DC1B36"/>
    <w:rsid w:val="00DD0C9B"/>
    <w:rsid w:val="00DD7961"/>
    <w:rsid w:val="00DE01C7"/>
    <w:rsid w:val="00DE22EF"/>
    <w:rsid w:val="00DE295B"/>
    <w:rsid w:val="00DE2FD9"/>
    <w:rsid w:val="00DE5608"/>
    <w:rsid w:val="00DE5CC5"/>
    <w:rsid w:val="00DE7198"/>
    <w:rsid w:val="00DF2770"/>
    <w:rsid w:val="00DF3502"/>
    <w:rsid w:val="00DF7668"/>
    <w:rsid w:val="00E00804"/>
    <w:rsid w:val="00E02E17"/>
    <w:rsid w:val="00E05DBD"/>
    <w:rsid w:val="00E06A56"/>
    <w:rsid w:val="00E0724D"/>
    <w:rsid w:val="00E1081B"/>
    <w:rsid w:val="00E11935"/>
    <w:rsid w:val="00E1626C"/>
    <w:rsid w:val="00E24D88"/>
    <w:rsid w:val="00E44492"/>
    <w:rsid w:val="00E44C6E"/>
    <w:rsid w:val="00E45949"/>
    <w:rsid w:val="00E4607C"/>
    <w:rsid w:val="00E52B7E"/>
    <w:rsid w:val="00E55581"/>
    <w:rsid w:val="00E575C6"/>
    <w:rsid w:val="00E615B6"/>
    <w:rsid w:val="00E65A03"/>
    <w:rsid w:val="00E72BA6"/>
    <w:rsid w:val="00E7620D"/>
    <w:rsid w:val="00E77FCB"/>
    <w:rsid w:val="00E83856"/>
    <w:rsid w:val="00E83B65"/>
    <w:rsid w:val="00E86932"/>
    <w:rsid w:val="00E94C2E"/>
    <w:rsid w:val="00E9699A"/>
    <w:rsid w:val="00EA00D2"/>
    <w:rsid w:val="00EA107B"/>
    <w:rsid w:val="00EA1913"/>
    <w:rsid w:val="00EA7531"/>
    <w:rsid w:val="00EA7B9D"/>
    <w:rsid w:val="00EB4FE9"/>
    <w:rsid w:val="00EC1A01"/>
    <w:rsid w:val="00EC7F60"/>
    <w:rsid w:val="00ED3A2C"/>
    <w:rsid w:val="00ED4FC4"/>
    <w:rsid w:val="00EE0F8A"/>
    <w:rsid w:val="00EE15F3"/>
    <w:rsid w:val="00EE3281"/>
    <w:rsid w:val="00EE6038"/>
    <w:rsid w:val="00F00F40"/>
    <w:rsid w:val="00F10AE8"/>
    <w:rsid w:val="00F10C07"/>
    <w:rsid w:val="00F12DFA"/>
    <w:rsid w:val="00F1313D"/>
    <w:rsid w:val="00F14855"/>
    <w:rsid w:val="00F2197E"/>
    <w:rsid w:val="00F21E77"/>
    <w:rsid w:val="00F225EA"/>
    <w:rsid w:val="00F27082"/>
    <w:rsid w:val="00F309DA"/>
    <w:rsid w:val="00F400D7"/>
    <w:rsid w:val="00F40FC9"/>
    <w:rsid w:val="00F4178D"/>
    <w:rsid w:val="00F46090"/>
    <w:rsid w:val="00F5019E"/>
    <w:rsid w:val="00F57E82"/>
    <w:rsid w:val="00F60117"/>
    <w:rsid w:val="00F62431"/>
    <w:rsid w:val="00F74B86"/>
    <w:rsid w:val="00F80043"/>
    <w:rsid w:val="00F81116"/>
    <w:rsid w:val="00F81811"/>
    <w:rsid w:val="00F85366"/>
    <w:rsid w:val="00FA0750"/>
    <w:rsid w:val="00FA0EA2"/>
    <w:rsid w:val="00FA141A"/>
    <w:rsid w:val="00FA21A8"/>
    <w:rsid w:val="00FA5790"/>
    <w:rsid w:val="00FB796E"/>
    <w:rsid w:val="00FC2346"/>
    <w:rsid w:val="00FC505E"/>
    <w:rsid w:val="00FC51BC"/>
    <w:rsid w:val="00FD002B"/>
    <w:rsid w:val="00FD63AF"/>
    <w:rsid w:val="00FE0D12"/>
    <w:rsid w:val="00FE5893"/>
    <w:rsid w:val="00FF47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n-GB"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n-GB"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n-GB"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n-GB"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proofing-commentarytext">
    <w:name w:val="proofing-commentary__text"/>
    <w:basedOn w:val="Absatz-Standardschriftart"/>
    <w:rsid w:val="00412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43821124">
      <w:bodyDiv w:val="1"/>
      <w:marLeft w:val="0"/>
      <w:marRight w:val="0"/>
      <w:marTop w:val="0"/>
      <w:marBottom w:val="0"/>
      <w:divBdr>
        <w:top w:val="none" w:sz="0" w:space="0" w:color="auto"/>
        <w:left w:val="none" w:sz="0" w:space="0" w:color="auto"/>
        <w:bottom w:val="none" w:sz="0" w:space="0" w:color="auto"/>
        <w:right w:val="none" w:sz="0" w:space="0" w:color="auto"/>
      </w:divBdr>
      <w:divsChild>
        <w:div w:id="823205954">
          <w:marLeft w:val="0"/>
          <w:marRight w:val="0"/>
          <w:marTop w:val="0"/>
          <w:marBottom w:val="0"/>
          <w:divBdr>
            <w:top w:val="none" w:sz="0" w:space="0" w:color="auto"/>
            <w:left w:val="none" w:sz="0" w:space="0" w:color="auto"/>
            <w:bottom w:val="none" w:sz="0" w:space="0" w:color="auto"/>
            <w:right w:val="none" w:sz="0" w:space="0" w:color="auto"/>
          </w:divBdr>
        </w:div>
        <w:div w:id="119349479">
          <w:marLeft w:val="0"/>
          <w:marRight w:val="0"/>
          <w:marTop w:val="0"/>
          <w:marBottom w:val="0"/>
          <w:divBdr>
            <w:top w:val="none" w:sz="0" w:space="0" w:color="auto"/>
            <w:left w:val="none" w:sz="0" w:space="0" w:color="auto"/>
            <w:bottom w:val="none" w:sz="0" w:space="0" w:color="auto"/>
            <w:right w:val="none" w:sz="0" w:space="0" w:color="auto"/>
          </w:divBdr>
        </w:div>
        <w:div w:id="1082220211">
          <w:marLeft w:val="0"/>
          <w:marRight w:val="0"/>
          <w:marTop w:val="0"/>
          <w:marBottom w:val="0"/>
          <w:divBdr>
            <w:top w:val="none" w:sz="0" w:space="0" w:color="auto"/>
            <w:left w:val="none" w:sz="0" w:space="0" w:color="auto"/>
            <w:bottom w:val="none" w:sz="0" w:space="0" w:color="auto"/>
            <w:right w:val="none" w:sz="0" w:space="0" w:color="auto"/>
          </w:divBdr>
        </w:div>
        <w:div w:id="283196206">
          <w:marLeft w:val="0"/>
          <w:marRight w:val="0"/>
          <w:marTop w:val="0"/>
          <w:marBottom w:val="0"/>
          <w:divBdr>
            <w:top w:val="none" w:sz="0" w:space="0" w:color="auto"/>
            <w:left w:val="none" w:sz="0" w:space="0" w:color="auto"/>
            <w:bottom w:val="none" w:sz="0" w:space="0" w:color="auto"/>
            <w:right w:val="none" w:sz="0" w:space="0" w:color="auto"/>
          </w:divBdr>
        </w:div>
        <w:div w:id="2087072665">
          <w:marLeft w:val="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321303167">
      <w:bodyDiv w:val="1"/>
      <w:marLeft w:val="0"/>
      <w:marRight w:val="0"/>
      <w:marTop w:val="0"/>
      <w:marBottom w:val="0"/>
      <w:divBdr>
        <w:top w:val="none" w:sz="0" w:space="0" w:color="auto"/>
        <w:left w:val="none" w:sz="0" w:space="0" w:color="auto"/>
        <w:bottom w:val="none" w:sz="0" w:space="0" w:color="auto"/>
        <w:right w:val="none" w:sz="0" w:space="0" w:color="auto"/>
      </w:divBdr>
    </w:div>
    <w:div w:id="1360425048">
      <w:bodyDiv w:val="1"/>
      <w:marLeft w:val="0"/>
      <w:marRight w:val="0"/>
      <w:marTop w:val="0"/>
      <w:marBottom w:val="0"/>
      <w:divBdr>
        <w:top w:val="none" w:sz="0" w:space="0" w:color="auto"/>
        <w:left w:val="none" w:sz="0" w:space="0" w:color="auto"/>
        <w:bottom w:val="none" w:sz="0" w:space="0" w:color="auto"/>
        <w:right w:val="none" w:sz="0" w:space="0" w:color="auto"/>
      </w:divBdr>
    </w:div>
    <w:div w:id="148546504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 w:id="2135635725">
      <w:bodyDiv w:val="1"/>
      <w:marLeft w:val="0"/>
      <w:marRight w:val="0"/>
      <w:marTop w:val="0"/>
      <w:marBottom w:val="0"/>
      <w:divBdr>
        <w:top w:val="none" w:sz="0" w:space="0" w:color="auto"/>
        <w:left w:val="none" w:sz="0" w:space="0" w:color="auto"/>
        <w:bottom w:val="none" w:sz="0" w:space="0" w:color="auto"/>
        <w:right w:val="none" w:sz="0" w:space="0" w:color="auto"/>
      </w:divBdr>
      <w:divsChild>
        <w:div w:id="86389461">
          <w:marLeft w:val="0"/>
          <w:marRight w:val="0"/>
          <w:marTop w:val="0"/>
          <w:marBottom w:val="0"/>
          <w:divBdr>
            <w:top w:val="none" w:sz="0" w:space="0" w:color="auto"/>
            <w:left w:val="none" w:sz="0" w:space="0" w:color="auto"/>
            <w:bottom w:val="none" w:sz="0" w:space="0" w:color="auto"/>
            <w:right w:val="none" w:sz="0" w:space="0" w:color="auto"/>
          </w:divBdr>
        </w:div>
        <w:div w:id="648363561">
          <w:marLeft w:val="0"/>
          <w:marRight w:val="0"/>
          <w:marTop w:val="0"/>
          <w:marBottom w:val="0"/>
          <w:divBdr>
            <w:top w:val="none" w:sz="0" w:space="0" w:color="auto"/>
            <w:left w:val="none" w:sz="0" w:space="0" w:color="auto"/>
            <w:bottom w:val="none" w:sz="0" w:space="0" w:color="auto"/>
            <w:right w:val="none" w:sz="0" w:space="0" w:color="auto"/>
          </w:divBdr>
        </w:div>
        <w:div w:id="1098712897">
          <w:marLeft w:val="0"/>
          <w:marRight w:val="0"/>
          <w:marTop w:val="0"/>
          <w:marBottom w:val="0"/>
          <w:divBdr>
            <w:top w:val="none" w:sz="0" w:space="0" w:color="auto"/>
            <w:left w:val="none" w:sz="0" w:space="0" w:color="auto"/>
            <w:bottom w:val="none" w:sz="0" w:space="0" w:color="auto"/>
            <w:right w:val="none" w:sz="0" w:space="0" w:color="auto"/>
          </w:divBdr>
        </w:div>
        <w:div w:id="1484157392">
          <w:marLeft w:val="0"/>
          <w:marRight w:val="0"/>
          <w:marTop w:val="0"/>
          <w:marBottom w:val="0"/>
          <w:divBdr>
            <w:top w:val="none" w:sz="0" w:space="0" w:color="auto"/>
            <w:left w:val="none" w:sz="0" w:space="0" w:color="auto"/>
            <w:bottom w:val="none" w:sz="0" w:space="0" w:color="auto"/>
            <w:right w:val="none" w:sz="0" w:space="0" w:color="auto"/>
          </w:divBdr>
        </w:div>
        <w:div w:id="13948098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log.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iseurope.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0a0e08d8a8666cbde8bcecd9387d16a1">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f6524d0c41e451aadc6239d4bbed1fde"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4C69EA-DA37-450F-A64F-6EA3D431394D}">
  <ds:schemaRefs>
    <ds:schemaRef ds:uri="http://schemas.microsoft.com/sharepoint/v3/contenttype/forms"/>
  </ds:schemaRefs>
</ds:datastoreItem>
</file>

<file path=customXml/itemProps2.xml><?xml version="1.0" encoding="utf-8"?>
<ds:datastoreItem xmlns:ds="http://schemas.openxmlformats.org/officeDocument/2006/customXml" ds:itemID="{EF8DA96E-8670-41E3-824B-70D7AF360601}">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DC2630F5-D330-4F5D-A0F2-BC1EB6B20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5699</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85</cp:revision>
  <cp:lastPrinted>2019-01-10T17:28:00Z</cp:lastPrinted>
  <dcterms:created xsi:type="dcterms:W3CDTF">2019-02-12T09:24:00Z</dcterms:created>
  <dcterms:modified xsi:type="dcterms:W3CDTF">2026-01-14T13:32:00Z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