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093F3C" w:rsidRDefault="005C2AEB">
      <w:pPr>
        <w:rPr>
          <w:rFonts w:ascii="Arial" w:hAnsi="Arial"/>
          <w:b/>
          <w:color w:val="000000" w:themeColor="text1"/>
          <w:sz w:val="28"/>
          <w:bdr w:val="none" w:sz="0" w:space="0" w:color="auto" w:frame="1"/>
        </w:rPr>
      </w:pPr>
      <w:r>
        <w:rPr>
          <w:rFonts w:ascii="Calibri" w:hAnsi="Calibri"/>
          <w:sz w:val="52"/>
        </w:rPr>
        <w:t>Komunikat prasowy</w:t>
      </w:r>
    </w:p>
    <w:p w14:paraId="16383BF3" w14:textId="77777777" w:rsidR="004330C6" w:rsidRPr="00093F3C" w:rsidRDefault="004330C6" w:rsidP="003817D3">
      <w:pPr>
        <w:rPr>
          <w:rFonts w:ascii="Arial" w:hAnsi="Arial"/>
          <w:b/>
          <w:color w:val="000000" w:themeColor="text1"/>
          <w:sz w:val="28"/>
          <w:bdr w:val="none" w:sz="0" w:space="0" w:color="auto" w:frame="1"/>
        </w:rPr>
      </w:pPr>
    </w:p>
    <w:p w14:paraId="0660A2A3" w14:textId="77777777" w:rsidR="004330C6" w:rsidRPr="00093F3C" w:rsidRDefault="004330C6" w:rsidP="003817D3">
      <w:pPr>
        <w:rPr>
          <w:rFonts w:ascii="Arial" w:hAnsi="Arial"/>
          <w:b/>
          <w:color w:val="000000" w:themeColor="text1"/>
          <w:sz w:val="28"/>
          <w:bdr w:val="none" w:sz="0" w:space="0" w:color="auto" w:frame="1"/>
        </w:rPr>
      </w:pPr>
    </w:p>
    <w:p w14:paraId="72D1B8ED" w14:textId="7639D260" w:rsidR="002A4CB3" w:rsidRPr="00093F3C" w:rsidRDefault="006D65AA" w:rsidP="00FC713B">
      <w:pPr>
        <w:pStyle w:val="xmsonormal"/>
        <w:spacing w:before="0" w:beforeAutospacing="0" w:after="0" w:afterAutospacing="0"/>
        <w:textAlignment w:val="baseline"/>
        <w:rPr>
          <w:rFonts w:ascii="Calibri" w:eastAsiaTheme="minorHAnsi" w:hAnsi="Calibri" w:cs="Calibri"/>
          <w:b/>
          <w:bCs/>
          <w:color w:val="000000"/>
          <w:sz w:val="44"/>
          <w:szCs w:val="44"/>
        </w:rPr>
      </w:pPr>
      <w:r>
        <w:rPr>
          <w:rFonts w:ascii="Calibri" w:hAnsi="Calibri"/>
          <w:b/>
          <w:color w:val="000000"/>
          <w:sz w:val="44"/>
        </w:rPr>
        <w:t>Adam Hall Integrated Systems prezentuje zintegrowane rozwiązanie audio, oświetlenia i sterowania na targach ISE 2025</w:t>
      </w:r>
    </w:p>
    <w:p w14:paraId="5E26A691" w14:textId="77777777" w:rsidR="00FC713B" w:rsidRPr="00093F3C"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3AA87DA5" w14:textId="1C3CBDE6" w:rsidR="004D3BB0" w:rsidRPr="00347BE6" w:rsidRDefault="005C2AEB" w:rsidP="004D3BB0">
      <w:pPr>
        <w:rPr>
          <w:rStyle w:val="Fett"/>
          <w:rFonts w:ascii="Calibri" w:hAnsi="Calibri" w:cs="Calibri"/>
          <w:color w:val="000000" w:themeColor="text1"/>
          <w:sz w:val="22"/>
          <w:szCs w:val="22"/>
          <w:bdr w:val="none" w:sz="0" w:space="0" w:color="auto" w:frame="1"/>
        </w:rPr>
      </w:pPr>
      <w:proofErr w:type="spellStart"/>
      <w:r>
        <w:rPr>
          <w:rStyle w:val="Fett"/>
          <w:rFonts w:ascii="Calibri" w:hAnsi="Calibri"/>
          <w:color w:val="000000" w:themeColor="text1"/>
          <w:sz w:val="22"/>
          <w:bdr w:val="none" w:sz="0" w:space="0" w:color="auto" w:frame="1"/>
        </w:rPr>
        <w:t>Neu-Anspach</w:t>
      </w:r>
      <w:proofErr w:type="spellEnd"/>
      <w:r>
        <w:rPr>
          <w:rStyle w:val="Fett"/>
          <w:rFonts w:ascii="Calibri" w:hAnsi="Calibri"/>
          <w:color w:val="000000" w:themeColor="text1"/>
          <w:sz w:val="22"/>
          <w:bdr w:val="none" w:sz="0" w:space="0" w:color="auto" w:frame="1"/>
        </w:rPr>
        <w:t xml:space="preserve">, Niemcy, </w:t>
      </w:r>
      <w:r w:rsidR="00E11D4A">
        <w:rPr>
          <w:rStyle w:val="Fett"/>
          <w:rFonts w:ascii="Calibri" w:hAnsi="Calibri"/>
          <w:color w:val="000000" w:themeColor="text1"/>
          <w:sz w:val="22"/>
          <w:bdr w:val="none" w:sz="0" w:space="0" w:color="auto" w:frame="1"/>
        </w:rPr>
        <w:t>21</w:t>
      </w:r>
      <w:r>
        <w:rPr>
          <w:rStyle w:val="Fett"/>
          <w:rFonts w:ascii="Calibri" w:hAnsi="Calibri"/>
          <w:color w:val="000000" w:themeColor="text1"/>
          <w:sz w:val="22"/>
          <w:bdr w:val="none" w:sz="0" w:space="0" w:color="auto" w:frame="1"/>
        </w:rPr>
        <w:t xml:space="preserve"> stycznia 2025 r. –</w:t>
      </w:r>
      <w:r>
        <w:rPr>
          <w:rFonts w:ascii="Calibri" w:hAnsi="Calibri"/>
          <w:b/>
          <w:color w:val="000000" w:themeColor="text1"/>
          <w:sz w:val="22"/>
        </w:rPr>
        <w:t xml:space="preserve"> Na targach ISE 2025 Adam Hall Integrated Systems położy jeszcze większy nacisk na nadrzędny aspekt sterowania swoimi rozwiązaniami audio i oświetleniowymi.</w:t>
      </w:r>
      <w:r>
        <w:rPr>
          <w:rStyle w:val="Fett"/>
          <w:rFonts w:ascii="Calibri" w:hAnsi="Calibri"/>
          <w:color w:val="000000" w:themeColor="text1"/>
          <w:sz w:val="22"/>
          <w:bdr w:val="none" w:sz="0" w:space="0" w:color="auto" w:frame="1"/>
        </w:rPr>
        <w:t xml:space="preserve"> Podstawą tego jest nowa, przełomowa aktualizacja dla LD Systems QUESTRA. Wraz z wersją 1.3 platforma oprogramowania do projektowania i zarządzania umożliwia </w:t>
      </w:r>
      <w:r>
        <w:rPr>
          <w:rFonts w:ascii="Calibri" w:hAnsi="Calibri"/>
          <w:b/>
          <w:color w:val="000000" w:themeColor="text1"/>
          <w:sz w:val="22"/>
        </w:rPr>
        <w:t>integrację rozwiązań innych firm, między innymi do kontroli i automatyzacji</w:t>
      </w:r>
      <w:r>
        <w:rPr>
          <w:rStyle w:val="Fett"/>
          <w:rFonts w:ascii="Calibri" w:hAnsi="Calibri"/>
          <w:color w:val="000000" w:themeColor="text1"/>
          <w:sz w:val="22"/>
          <w:bdr w:val="none" w:sz="0" w:space="0" w:color="auto" w:frame="1"/>
        </w:rPr>
        <w:t xml:space="preserve"> rozwiązań instalacyjnych opartych na sieci. Wśród innych nowości warto wymienić rozszerzenie serii głośników DQOR o dedykowane modele subwooferów do montażu na stałe wewnątrz i na zewnątrz budynków oraz reflektory IP67 z serii Cameo DURA.</w:t>
      </w:r>
    </w:p>
    <w:p w14:paraId="19FD75EC" w14:textId="77777777" w:rsidR="005107BC" w:rsidRDefault="005107BC" w:rsidP="009104A5">
      <w:pPr>
        <w:rPr>
          <w:rStyle w:val="Fett"/>
          <w:rFonts w:ascii="Calibri" w:hAnsi="Calibri" w:cs="Calibri"/>
          <w:color w:val="000000" w:themeColor="text1"/>
          <w:sz w:val="22"/>
          <w:szCs w:val="22"/>
          <w:bdr w:val="none" w:sz="0" w:space="0" w:color="auto" w:frame="1"/>
        </w:rPr>
      </w:pPr>
    </w:p>
    <w:p w14:paraId="1074ACC4" w14:textId="77777777" w:rsidR="005107BC" w:rsidRPr="00F2327C" w:rsidRDefault="005107BC" w:rsidP="005107BC">
      <w:pPr>
        <w:rPr>
          <w:rFonts w:ascii="Calibri" w:hAnsi="Calibri" w:cs="Calibri"/>
          <w:color w:val="000000" w:themeColor="text1"/>
          <w:sz w:val="22"/>
          <w:szCs w:val="22"/>
        </w:rPr>
      </w:pPr>
      <w:r>
        <w:rPr>
          <w:rFonts w:ascii="Calibri" w:hAnsi="Calibri"/>
          <w:b/>
          <w:color w:val="000000" w:themeColor="text1"/>
          <w:sz w:val="22"/>
        </w:rPr>
        <w:t>Aktualizacja QUESTRA 1.3: Sterowanie komercyjnymi rozwiązaniami audio i oświetleniowymi</w:t>
      </w:r>
    </w:p>
    <w:p w14:paraId="67149545" w14:textId="1EC17A28" w:rsidR="005107BC" w:rsidRPr="001B01AE" w:rsidRDefault="000E1221" w:rsidP="006D65AA">
      <w:pPr>
        <w:rPr>
          <w:rStyle w:val="Fett"/>
          <w:rFonts w:ascii="Calibri" w:hAnsi="Calibri" w:cs="Calibri"/>
          <w:b w:val="0"/>
          <w:bCs w:val="0"/>
          <w:color w:val="000000" w:themeColor="text1"/>
          <w:sz w:val="22"/>
          <w:szCs w:val="22"/>
          <w:bdr w:val="none" w:sz="0" w:space="0" w:color="auto" w:frame="1"/>
        </w:rPr>
      </w:pPr>
      <w:r>
        <w:rPr>
          <w:rFonts w:ascii="Calibri" w:hAnsi="Calibri"/>
          <w:color w:val="000000" w:themeColor="text1"/>
          <w:sz w:val="22"/>
        </w:rPr>
        <w:t xml:space="preserve">Dzięki QUESTRA 1.3 Adam Hall Integrated Systems kontynuuje swoją drogę do stania się kompleksowym rozwiązaniem dla wyspecjalizowanych projektantów i dostawców usług instalacyjnych. Użytkownicy mogą teraz konfigurować i zarządzać technologią audio, oświetleniem i wideo za pośrednictwem scentralizowanej platformy oprogramowania. Nowa, scentralizowana architektura systemu i wykorzystanie węzłów stanowią podstawę znacznie rozszerzonego zakresu funkcji QUESTRA. </w:t>
      </w:r>
      <w:r>
        <w:rPr>
          <w:rStyle w:val="Fett"/>
          <w:rFonts w:ascii="Calibri" w:hAnsi="Calibri"/>
          <w:b w:val="0"/>
          <w:color w:val="000000" w:themeColor="text1"/>
          <w:sz w:val="22"/>
          <w:bdr w:val="none" w:sz="0" w:space="0" w:color="auto" w:frame="1"/>
        </w:rPr>
        <w:t>Węzły logiczne umożliwiają modułowe programowanie, automatyzację opartą na czasie i zapewniają rozszerzone opcje integracji oraz płynne zarządzanie zintegrowanymi urządzeniami. Węzeł kalendarza, na przykład, nadaje się do złożonych zadań planowania, podczas gdy węzeł poleceń sieciowych umożliwia sterowanie przez osoby trzecie za pośrednictwem protokołów TCP, UDP i HTTP.</w:t>
      </w:r>
    </w:p>
    <w:p w14:paraId="1BAF6F81" w14:textId="77777777" w:rsidR="005107BC" w:rsidRPr="001B01AE" w:rsidRDefault="005107BC" w:rsidP="005107BC">
      <w:pPr>
        <w:rPr>
          <w:rStyle w:val="Fett"/>
          <w:rFonts w:ascii="Calibri" w:hAnsi="Calibri" w:cs="Calibri"/>
          <w:b w:val="0"/>
          <w:bCs w:val="0"/>
          <w:color w:val="000000" w:themeColor="text1"/>
          <w:sz w:val="22"/>
          <w:szCs w:val="22"/>
          <w:bdr w:val="none" w:sz="0" w:space="0" w:color="auto" w:frame="1"/>
        </w:rPr>
      </w:pPr>
    </w:p>
    <w:p w14:paraId="71F24411" w14:textId="1E8C548C" w:rsidR="001B01AE" w:rsidRPr="001B01AE" w:rsidRDefault="001B01AE" w:rsidP="001B01AE">
      <w:pPr>
        <w:rPr>
          <w:rFonts w:ascii="Calibri" w:hAnsi="Calibri" w:cs="Calibri"/>
          <w:sz w:val="22"/>
          <w:szCs w:val="22"/>
        </w:rPr>
      </w:pPr>
      <w:r>
        <w:rPr>
          <w:rStyle w:val="Fett"/>
          <w:rFonts w:ascii="Calibri" w:hAnsi="Calibri"/>
          <w:b w:val="0"/>
          <w:color w:val="000000" w:themeColor="text1"/>
          <w:sz w:val="22"/>
          <w:bdr w:val="none" w:sz="0" w:space="0" w:color="auto" w:frame="1"/>
        </w:rPr>
        <w:t xml:space="preserve">Oprócz oprogramowania QUESTRA (Windows) </w:t>
      </w:r>
      <w:r w:rsidRPr="001B01AE">
        <w:rPr>
          <w:rFonts w:ascii="Calibri" w:hAnsi="Calibri"/>
          <w:sz w:val="22"/>
          <w:szCs w:val="22"/>
        </w:rPr>
        <w:t>opracowano dla paneli QUESTRA oddzielny interfejs użytkownika, który umożliwia szybkie i łatwe wybieranie najważniejszych poleceń, w tym wybór sceny i strefy, uruchamianie i zatrzymywanie scen, ściemniacza, regulację kolorów i nie tylko</w:t>
      </w:r>
      <w:r>
        <w:rPr>
          <w:rStyle w:val="Fett"/>
          <w:rFonts w:ascii="Calibri" w:hAnsi="Calibri"/>
          <w:b w:val="0"/>
          <w:color w:val="000000" w:themeColor="text1"/>
          <w:sz w:val="22"/>
          <w:bdr w:val="none" w:sz="0" w:space="0" w:color="auto" w:frame="1"/>
        </w:rPr>
        <w:t>.</w:t>
      </w:r>
    </w:p>
    <w:p w14:paraId="2F5A4925" w14:textId="762A3DE7" w:rsidR="001B01AE" w:rsidRDefault="001B01AE" w:rsidP="005107BC">
      <w:pPr>
        <w:rPr>
          <w:rStyle w:val="Fett"/>
          <w:rFonts w:ascii="Calibri" w:hAnsi="Calibri" w:cs="Calibri"/>
          <w:b w:val="0"/>
          <w:bCs w:val="0"/>
          <w:color w:val="000000" w:themeColor="text1"/>
          <w:sz w:val="22"/>
          <w:szCs w:val="22"/>
          <w:bdr w:val="none" w:sz="0" w:space="0" w:color="auto" w:frame="1"/>
        </w:rPr>
      </w:pPr>
    </w:p>
    <w:p w14:paraId="7224FFC2" w14:textId="4C7132D1" w:rsidR="005107BC" w:rsidRPr="00F90084" w:rsidRDefault="00F90084" w:rsidP="009104A5">
      <w:pPr>
        <w:rPr>
          <w:rStyle w:val="Fett"/>
          <w:rFonts w:ascii="Calibri" w:hAnsi="Calibri" w:cs="Calibri"/>
          <w:b w:val="0"/>
          <w:bCs w:val="0"/>
          <w:color w:val="000000" w:themeColor="text1"/>
          <w:sz w:val="22"/>
          <w:szCs w:val="22"/>
          <w:bdr w:val="none" w:sz="0" w:space="0" w:color="auto" w:frame="1"/>
        </w:rPr>
      </w:pPr>
      <w:r>
        <w:rPr>
          <w:rStyle w:val="Fett"/>
          <w:rFonts w:ascii="Calibri" w:hAnsi="Calibri"/>
          <w:b w:val="0"/>
          <w:color w:val="000000" w:themeColor="text1"/>
          <w:sz w:val="22"/>
          <w:bdr w:val="none" w:sz="0" w:space="0" w:color="auto" w:frame="1"/>
        </w:rPr>
        <w:t>Aktualizacja v1.3 jest dostępna bezpłatnie dla wszystkich użytkowników QUESTRA.</w:t>
      </w:r>
    </w:p>
    <w:p w14:paraId="65C0D0D3" w14:textId="77777777" w:rsidR="00C31E43" w:rsidRPr="00F90084" w:rsidRDefault="00C31E43" w:rsidP="009104A5">
      <w:pPr>
        <w:rPr>
          <w:rStyle w:val="Fett"/>
          <w:rFonts w:ascii="Calibri" w:hAnsi="Calibri" w:cs="Calibri"/>
          <w:b w:val="0"/>
          <w:bCs w:val="0"/>
          <w:color w:val="000000" w:themeColor="text1"/>
          <w:sz w:val="22"/>
          <w:szCs w:val="22"/>
          <w:bdr w:val="none" w:sz="0" w:space="0" w:color="auto" w:frame="1"/>
        </w:rPr>
      </w:pPr>
    </w:p>
    <w:p w14:paraId="2FB42614" w14:textId="77777777" w:rsidR="00AC7C07" w:rsidRPr="00F2327C" w:rsidRDefault="00AC7C07" w:rsidP="00AC7C07">
      <w:pPr>
        <w:rPr>
          <w:rFonts w:ascii="Calibri" w:hAnsi="Calibri" w:cs="Calibri"/>
          <w:b/>
          <w:bCs/>
          <w:color w:val="000000" w:themeColor="text1"/>
          <w:sz w:val="22"/>
          <w:szCs w:val="22"/>
        </w:rPr>
      </w:pPr>
      <w:r>
        <w:rPr>
          <w:rFonts w:ascii="Calibri" w:hAnsi="Calibri"/>
          <w:b/>
          <w:color w:val="000000" w:themeColor="text1"/>
          <w:sz w:val="22"/>
        </w:rPr>
        <w:t xml:space="preserve">LD Systems DQOR SUB 8: Instalacyjny subwoofer do użytku wewnętrznego i zewnętrznego </w:t>
      </w:r>
    </w:p>
    <w:p w14:paraId="2D2599B2"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Wraz z wprowadzeniem własnych modeli subwooferów seria LD Systems DQOR jest teraz kompletna. Nowy DQOR SUB 8 jest wyposażony w 8'' głośnik niskotonowy oraz 10'' membranę bierną i jest dostępny w trzech wersjach do elastycznego zastosowania: jako model pasywny (DQOR SUB 8) do użytku na zewnątrz, jako model aktywny (DQOR SUB 8A) ze zintegrowanym wzmacniaczem o mocy 250 W do użytku w pomieszczeniach oraz jako aktywne rozwiązanie Dante o stopniu ochrony IP55 (DQOR SUB 8D).</w:t>
      </w:r>
    </w:p>
    <w:p w14:paraId="1685FFA2" w14:textId="77777777" w:rsidR="00AC7C07" w:rsidRPr="00093F3C" w:rsidRDefault="00AC7C07" w:rsidP="00AC7C07">
      <w:pPr>
        <w:rPr>
          <w:rFonts w:ascii="Calibri" w:hAnsi="Calibri" w:cs="Calibri"/>
          <w:color w:val="000000" w:themeColor="text1"/>
          <w:sz w:val="22"/>
          <w:szCs w:val="22"/>
        </w:rPr>
      </w:pPr>
    </w:p>
    <w:p w14:paraId="2DACA5A5" w14:textId="77777777" w:rsidR="00AC7C07" w:rsidRPr="00093F3C" w:rsidRDefault="00AC7C07" w:rsidP="00AC7C07">
      <w:pPr>
        <w:rPr>
          <w:rFonts w:ascii="Calibri" w:hAnsi="Calibri" w:cs="Calibri"/>
          <w:b/>
          <w:bCs/>
          <w:color w:val="000000" w:themeColor="text1"/>
          <w:sz w:val="22"/>
          <w:szCs w:val="22"/>
        </w:rPr>
      </w:pPr>
      <w:r>
        <w:rPr>
          <w:rFonts w:ascii="Calibri" w:hAnsi="Calibri"/>
          <w:b/>
          <w:color w:val="000000" w:themeColor="text1"/>
          <w:sz w:val="22"/>
        </w:rPr>
        <w:t>Cameo DURA: Wysokowydajne rozwiązania dla wymagającego oświetlenia architektonicznego</w:t>
      </w:r>
    </w:p>
    <w:p w14:paraId="535B82D5"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lastRenderedPageBreak/>
        <w:t>Reflektory IP67 z serii DURA firmy Cameo nadają się do akcentowania budynków, fasad i obiektów artystycznych. Dzięki reflektorom DURA SPOT RGBW o czterech różnych mocach światła i oprawom liniowym DURA LINE RGBW o dwóch różnych długościach (50 cm / 100 cm), seria DURA zapewnia odpowiednie rozwiązanie dla niemal każdego kreatywnego zastosowania i środowiska. Czy dla projektantów architektury i oświetlenia, czy dla właścicieli budynków, którzy chcą zaprezentować swoje nieruchomości w profesjonalny sposób – wytrzymała seria DURA oferuje elastyczne, energooszczędne rozwiązania oświetleniowe, które wydobędą z każdego projektu to, co najlepsze.</w:t>
      </w:r>
    </w:p>
    <w:p w14:paraId="59FA6163" w14:textId="77777777" w:rsidR="00073BAC" w:rsidRDefault="00073BAC" w:rsidP="009104A5">
      <w:pPr>
        <w:rPr>
          <w:rStyle w:val="Fett"/>
          <w:rFonts w:ascii="Calibri" w:hAnsi="Calibri" w:cs="Calibri"/>
          <w:color w:val="000000" w:themeColor="text1"/>
          <w:sz w:val="22"/>
          <w:szCs w:val="22"/>
          <w:bdr w:val="none" w:sz="0" w:space="0" w:color="auto" w:frame="1"/>
        </w:rPr>
      </w:pPr>
    </w:p>
    <w:p w14:paraId="31E7E0AD" w14:textId="4527923A" w:rsidR="00284CE2" w:rsidRPr="00D845EE" w:rsidRDefault="00284CE2" w:rsidP="00284CE2">
      <w:pPr>
        <w:rPr>
          <w:rFonts w:ascii="Calibri" w:hAnsi="Calibri" w:cs="Calibri"/>
          <w:b/>
          <w:bCs/>
          <w:sz w:val="22"/>
          <w:szCs w:val="22"/>
        </w:rPr>
      </w:pPr>
      <w:r>
        <w:rPr>
          <w:rFonts w:ascii="Calibri" w:hAnsi="Calibri"/>
          <w:b/>
          <w:sz w:val="22"/>
        </w:rPr>
        <w:t>Więcej informacji:</w:t>
      </w:r>
    </w:p>
    <w:p w14:paraId="27A31681" w14:textId="77777777" w:rsidR="00284CE2" w:rsidRPr="00D845EE" w:rsidRDefault="00284CE2" w:rsidP="00284C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
    <w:p w14:paraId="2A6484AE"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LD Systems TICA</w:t>
      </w:r>
      <w:r w:rsidRPr="00093F3C">
        <w:rPr>
          <w:rFonts w:ascii="Calibri" w:hAnsi="Calibri"/>
          <w:sz w:val="22"/>
          <w:szCs w:val="22"/>
        </w:rPr>
        <w:t xml:space="preserve"> – Wszechstronna seria TICA oferuje profesjonalne rozwiązania audio do płynnej integracji z małymi i dużymi konfiguracjami audio. Kompaktowe i jednolicie zaprojektowane portfolio obejmuje końcówki mocy, wzmacniacze miksujące, odtwarzacze streamingowe i multimedialne, konwertery Dante i wiele innych.</w:t>
      </w:r>
    </w:p>
    <w:p w14:paraId="6D42D13D"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Seria Cameo H</w:t>
      </w:r>
      <w:r w:rsidRPr="00093F3C">
        <w:rPr>
          <w:rFonts w:ascii="Calibri" w:hAnsi="Calibri"/>
          <w:sz w:val="22"/>
          <w:szCs w:val="22"/>
        </w:rPr>
        <w:t xml:space="preserve"> – sterowane przez DMX lampy typu houselight do elastycznego oświetlenia salowego LED w halach wystawowych, restauracjach, foyer teatralnych, obiektach lub miejscach kultu religijnego. Dostępne w wersjach z pełnym kolorem, ciepłą bielą i regulowanym światłem dziennym.</w:t>
      </w:r>
    </w:p>
    <w:p w14:paraId="3761FCAF" w14:textId="77777777" w:rsidR="00284CE2" w:rsidRPr="00093F3C" w:rsidRDefault="00284CE2" w:rsidP="00284CE2">
      <w:pPr>
        <w:pStyle w:val="StandardWeb"/>
        <w:spacing w:before="0" w:beforeAutospacing="0" w:after="0" w:afterAutospacing="0"/>
        <w:rPr>
          <w:rFonts w:ascii="Calibri" w:hAnsi="Calibri" w:cs="Calibri"/>
          <w:color w:val="000000" w:themeColor="text1"/>
          <w:sz w:val="22"/>
          <w:szCs w:val="22"/>
          <w:bdr w:val="none" w:sz="0" w:space="0" w:color="auto" w:frame="1"/>
        </w:rPr>
      </w:pPr>
      <w:r>
        <w:rPr>
          <w:rFonts w:ascii="Calibri" w:hAnsi="Calibri"/>
          <w:b/>
          <w:sz w:val="22"/>
        </w:rPr>
        <w:t>Seria Cameo G</w:t>
      </w:r>
      <w:r w:rsidRPr="00093F3C">
        <w:rPr>
          <w:rFonts w:ascii="Calibri" w:hAnsi="Calibri"/>
          <w:sz w:val="22"/>
          <w:szCs w:val="22"/>
        </w:rPr>
        <w:t xml:space="preserve"> – Wszechstronne oświetlenie szynowe do użytku w standardowych systemach szynowych. Dyskretne i wszechstronne oświetlenie LED jest dostępne w czterech różnych wersjach: Neutral White, Tungsten, Tunable White i Full-Colour.</w:t>
      </w:r>
    </w:p>
    <w:p w14:paraId="28104648" w14:textId="77777777" w:rsidR="006357EB" w:rsidRPr="00093F3C" w:rsidRDefault="006357EB" w:rsidP="003F1474">
      <w:pPr>
        <w:rPr>
          <w:rFonts w:ascii="Calibri" w:hAnsi="Calibri" w:cs="Calibri"/>
          <w:color w:val="000000" w:themeColor="text1"/>
          <w:sz w:val="22"/>
          <w:szCs w:val="22"/>
        </w:rPr>
      </w:pPr>
    </w:p>
    <w:p w14:paraId="598F8824" w14:textId="391CB738" w:rsidR="00804690" w:rsidRPr="00093F3C" w:rsidRDefault="00011EB6"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Odwiedzający targi ISE mogą dowiedzieć się więcej na temat stałych rozwiązań instalacyjnych firmy Adam Hall Integrated Systems na </w:t>
      </w:r>
      <w:r>
        <w:rPr>
          <w:rFonts w:ascii="Calibri" w:hAnsi="Calibri"/>
          <w:b/>
          <w:color w:val="000000" w:themeColor="text1"/>
          <w:kern w:val="1"/>
          <w:sz w:val="22"/>
        </w:rPr>
        <w:t>stoisku 7B550</w:t>
      </w:r>
      <w:r>
        <w:rPr>
          <w:rFonts w:ascii="Calibri" w:hAnsi="Calibri"/>
          <w:color w:val="000000" w:themeColor="text1"/>
          <w:kern w:val="1"/>
          <w:sz w:val="22"/>
        </w:rPr>
        <w:t>.</w:t>
      </w:r>
    </w:p>
    <w:p w14:paraId="5B1FA049" w14:textId="092FEEEA" w:rsidR="003D08B8" w:rsidRPr="00093F3C" w:rsidRDefault="003D08B8" w:rsidP="001E4D60">
      <w:pPr>
        <w:pStyle w:val="StandardWeb"/>
        <w:spacing w:before="0" w:beforeAutospacing="0" w:after="0" w:afterAutospacing="0"/>
        <w:textAlignment w:val="baseline"/>
        <w:rPr>
          <w:rFonts w:ascii="Calibri" w:hAnsi="Calibri" w:cs="Calibri"/>
          <w:sz w:val="22"/>
          <w:szCs w:val="22"/>
        </w:rPr>
      </w:pPr>
    </w:p>
    <w:p w14:paraId="2402A07C" w14:textId="2803DB65" w:rsidR="00A35289" w:rsidRPr="00E963FB" w:rsidRDefault="00A35289" w:rsidP="00A35289">
      <w:pPr>
        <w:rPr>
          <w:rFonts w:ascii="Calibri" w:hAnsi="Calibri" w:cs="Calibri"/>
          <w:sz w:val="22"/>
          <w:szCs w:val="22"/>
          <w:lang w:val="en-GB"/>
        </w:rPr>
      </w:pPr>
      <w:r w:rsidRPr="00E963FB">
        <w:rPr>
          <w:rFonts w:ascii="Calibri" w:hAnsi="Calibri"/>
          <w:sz w:val="22"/>
          <w:lang w:val="en-GB"/>
        </w:rPr>
        <w:t>#AdamHallIntegratedSystems #CommercialAudio #Lighting #AdamHallGroup</w:t>
      </w:r>
    </w:p>
    <w:p w14:paraId="6CB4DBBA" w14:textId="77777777" w:rsidR="00071B90" w:rsidRPr="00E963FB" w:rsidRDefault="00071B90" w:rsidP="004330C6">
      <w:pPr>
        <w:rPr>
          <w:rFonts w:ascii="Calibri" w:hAnsi="Calibri" w:cs="Calibri"/>
          <w:b/>
          <w:sz w:val="22"/>
          <w:szCs w:val="22"/>
          <w:lang w:val="en-GB"/>
        </w:rPr>
      </w:pPr>
    </w:p>
    <w:p w14:paraId="10B8E9AA" w14:textId="77777777" w:rsidR="00261B04" w:rsidRPr="00E963FB" w:rsidRDefault="00261B04" w:rsidP="00261B04">
      <w:pPr>
        <w:rPr>
          <w:rFonts w:ascii="Calibri" w:hAnsi="Calibri" w:cs="Calibri"/>
          <w:b/>
          <w:sz w:val="22"/>
          <w:szCs w:val="22"/>
          <w:lang w:val="en-GB"/>
        </w:rPr>
      </w:pPr>
      <w:proofErr w:type="spellStart"/>
      <w:r w:rsidRPr="00E963FB">
        <w:rPr>
          <w:rFonts w:ascii="Calibri" w:hAnsi="Calibri"/>
          <w:b/>
          <w:sz w:val="22"/>
          <w:lang w:val="en-GB"/>
        </w:rPr>
        <w:t>Więcej</w:t>
      </w:r>
      <w:proofErr w:type="spellEnd"/>
      <w:r w:rsidRPr="00E963FB">
        <w:rPr>
          <w:rFonts w:ascii="Calibri" w:hAnsi="Calibri"/>
          <w:b/>
          <w:sz w:val="22"/>
          <w:lang w:val="en-GB"/>
        </w:rPr>
        <w:t xml:space="preserve"> </w:t>
      </w:r>
      <w:proofErr w:type="spellStart"/>
      <w:r w:rsidRPr="00E963FB">
        <w:rPr>
          <w:rFonts w:ascii="Calibri" w:hAnsi="Calibri"/>
          <w:b/>
          <w:sz w:val="22"/>
          <w:lang w:val="en-GB"/>
        </w:rPr>
        <w:t>informacji</w:t>
      </w:r>
      <w:proofErr w:type="spellEnd"/>
      <w:r w:rsidRPr="00E963FB">
        <w:rPr>
          <w:rFonts w:ascii="Calibri" w:hAnsi="Calibri"/>
          <w:b/>
          <w:sz w:val="22"/>
          <w:lang w:val="en-GB"/>
        </w:rPr>
        <w:t>:</w:t>
      </w:r>
    </w:p>
    <w:p w14:paraId="395B9C89" w14:textId="2C27EF15" w:rsidR="007621B9" w:rsidRPr="00E963FB" w:rsidRDefault="00000000" w:rsidP="005C4370">
      <w:pPr>
        <w:rPr>
          <w:lang w:val="en-GB"/>
        </w:rPr>
      </w:pPr>
      <w:hyperlink r:id="rId10" w:history="1">
        <w:r w:rsidR="005C2AEB" w:rsidRPr="00E963FB">
          <w:rPr>
            <w:rStyle w:val="Hyperlink"/>
            <w:rFonts w:ascii="Calibri" w:hAnsi="Calibri"/>
            <w:sz w:val="22"/>
            <w:lang w:val="en-GB"/>
          </w:rPr>
          <w:t>adamhall.com/</w:t>
        </w:r>
        <w:proofErr w:type="gramStart"/>
        <w:r w:rsidR="005C2AEB" w:rsidRPr="00E963FB">
          <w:rPr>
            <w:rStyle w:val="Hyperlink"/>
            <w:rFonts w:ascii="Calibri" w:hAnsi="Calibri"/>
            <w:sz w:val="22"/>
            <w:lang w:val="en-GB"/>
          </w:rPr>
          <w:t>integrated-systems</w:t>
        </w:r>
        <w:proofErr w:type="gramEnd"/>
      </w:hyperlink>
    </w:p>
    <w:p w14:paraId="0E5D7472" w14:textId="582AF6FB" w:rsidR="00670CFE" w:rsidRPr="00E963FB" w:rsidRDefault="00000000" w:rsidP="005C4370">
      <w:pPr>
        <w:rPr>
          <w:rStyle w:val="Hyperlink"/>
          <w:rFonts w:ascii="Calibri" w:hAnsi="Calibri" w:cs="Calibri"/>
          <w:sz w:val="22"/>
          <w:szCs w:val="22"/>
          <w:lang w:val="en-GB"/>
        </w:rPr>
      </w:pPr>
      <w:hyperlink r:id="rId11" w:history="1">
        <w:r w:rsidR="005C2AEB" w:rsidRPr="00E963FB">
          <w:rPr>
            <w:rStyle w:val="Hyperlink"/>
            <w:rFonts w:ascii="Calibri" w:hAnsi="Calibri"/>
            <w:sz w:val="22"/>
            <w:lang w:val="en-GB"/>
          </w:rPr>
          <w:t>ld-systems.com/</w:t>
        </w:r>
        <w:proofErr w:type="spellStart"/>
        <w:r w:rsidR="005C2AEB" w:rsidRPr="00E963FB">
          <w:rPr>
            <w:rStyle w:val="Hyperlink"/>
            <w:rFonts w:ascii="Calibri" w:hAnsi="Calibri"/>
            <w:sz w:val="22"/>
            <w:lang w:val="en-GB"/>
          </w:rPr>
          <w:t>questra</w:t>
        </w:r>
        <w:proofErr w:type="spellEnd"/>
      </w:hyperlink>
    </w:p>
    <w:p w14:paraId="33BD2C9A" w14:textId="77777777" w:rsidR="00670CFE" w:rsidRPr="00E963FB" w:rsidRDefault="00670CFE" w:rsidP="005C4370">
      <w:pPr>
        <w:rPr>
          <w:rFonts w:ascii="Calibri" w:hAnsi="Calibri" w:cs="Calibri"/>
          <w:sz w:val="22"/>
          <w:szCs w:val="22"/>
          <w:lang w:val="en-GB"/>
        </w:rPr>
      </w:pPr>
    </w:p>
    <w:p w14:paraId="212EDE71" w14:textId="052A0DAF" w:rsidR="00261B04" w:rsidRPr="005C2AEB" w:rsidRDefault="00000000" w:rsidP="005C4370">
      <w:pPr>
        <w:rPr>
          <w:rFonts w:ascii="Calibri" w:eastAsia="Arial" w:hAnsi="Calibri" w:cs="Calibri"/>
          <w:bCs/>
          <w:sz w:val="22"/>
          <w:szCs w:val="22"/>
        </w:rPr>
      </w:pPr>
      <w:hyperlink r:id="rId12" w:history="1">
        <w:r w:rsidR="005C2AEB">
          <w:rPr>
            <w:rStyle w:val="Hyperlink"/>
            <w:rFonts w:ascii="Calibri" w:hAnsi="Calibri"/>
            <w:sz w:val="22"/>
          </w:rPr>
          <w:t>adamhall.com</w:t>
        </w:r>
      </w:hyperlink>
      <w:r w:rsidR="00261B04" w:rsidRPr="005C2AEB">
        <w:rPr>
          <w:rFonts w:ascii="Calibri" w:hAnsi="Calibri"/>
          <w:sz w:val="22"/>
          <w:szCs w:val="22"/>
          <w:u w:val="single"/>
        </w:rPr>
        <w:br/>
      </w:r>
      <w:hyperlink r:id="rId13" w:history="1">
        <w:r w:rsidR="005C2AEB">
          <w:rPr>
            <w:rStyle w:val="Hyperlink"/>
            <w:rFonts w:ascii="Calibri" w:hAnsi="Calibri"/>
            <w:sz w:val="22"/>
          </w:rPr>
          <w:t>blog.adamhall.com</w:t>
        </w:r>
      </w:hyperlink>
    </w:p>
    <w:p w14:paraId="1E185D22" w14:textId="77777777" w:rsidR="00261B04" w:rsidRPr="005C2AEB" w:rsidRDefault="00261B04" w:rsidP="00261B04">
      <w:pPr>
        <w:pStyle w:val="KeinLeerraum"/>
        <w:rPr>
          <w:rFonts w:ascii="Calibri" w:hAnsi="Calibri"/>
          <w:b/>
          <w:color w:val="808080"/>
          <w:sz w:val="18"/>
        </w:rPr>
      </w:pPr>
    </w:p>
    <w:p w14:paraId="4B3EAB7D" w14:textId="77777777" w:rsidR="005C4370" w:rsidRPr="005C2AEB" w:rsidRDefault="005C4370" w:rsidP="00261B04">
      <w:pPr>
        <w:autoSpaceDE w:val="0"/>
        <w:autoSpaceDN w:val="0"/>
        <w:adjustRightInd w:val="0"/>
        <w:rPr>
          <w:rFonts w:ascii="AppleSystemUIFont" w:eastAsiaTheme="minorHAnsi" w:hAnsi="AppleSystemUIFont" w:cs="AppleSystemUIFont"/>
          <w:b/>
          <w:bCs/>
          <w:sz w:val="18"/>
          <w:szCs w:val="18"/>
        </w:rPr>
      </w:pPr>
    </w:p>
    <w:p w14:paraId="27B9B127" w14:textId="6661A688" w:rsidR="00261B04" w:rsidRPr="00093F3C"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Informacje o Adam Hall Group</w:t>
      </w:r>
    </w:p>
    <w:p w14:paraId="19CDE9CE"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Założona w 1975 roku Adam Hall Group jest innowacyjnym niemieckim producentem i dystrybutorem z wieloletnią i wysoko cenioną tradycją w sektorze wynajmu urządzeń i technologii eventowych. Pod markami LD Systems®, Cameo®, Gravity®, Defender®, Palmer® i Adam Hall® firma oferuje szeroką gamę profesjonalnych technologii audio i oświetleniowych, a także sprzęt sceniczny i sprzęt do skrzyń transportowych. W szczególności rozwiązania w zakresie technologii audio i oświetleniowej przyczyniły się do rozwoju nowej działalności Adam Hall Integrated Systems – segmentu skoncentrowanego na projektowaniu i rozwijaniu wysokiej jakości i konkurencyjnych rozwiązań audio, oświetleniowych i zarządzania rozwiązaniami systemowymi dla globalnych klientów biznesowych AV. Zgodnie z naszym credo łatwości obsługi i wysokich standardów usług, tworzymy produkty dla projektantów, instalatorów i inżynierów pracujących na rynku HoReCa, w handlu detalicznym, na salach konferencyjnych, w instytucjach edukacyjnych, w przestrzeni publicznej i w miejscach wydarzeń. Prowadzimy sprzedaż w ponad 90 krajach na całym świecie. Potrzeby i życzenia klienta oraz świadomość zrównoważonego rozwoju są dla nas priorytetem, a za opracowywanie produktów i świadczone usługi otrzymaliśmy kilka prestiżowych nagród, w tym Red Dot® Design Awards.</w:t>
      </w:r>
    </w:p>
    <w:p w14:paraId="0B8F4600"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Aby uzyskać więcej informacji na temat Adam Hall Group i działu Adam Hall Integrated Systems, odwiedź stronę </w:t>
      </w:r>
      <w:hyperlink r:id="rId14" w:history="1">
        <w:r>
          <w:rPr>
            <w:rStyle w:val="Hyperlink"/>
            <w:rFonts w:ascii="AppleSystemUIFont" w:hAnsi="AppleSystemUIFont"/>
            <w:sz w:val="18"/>
          </w:rPr>
          <w:t>adamhall.com</w:t>
        </w:r>
      </w:hyperlink>
      <w:r>
        <w:rPr>
          <w:rFonts w:ascii="AppleSystemUIFont" w:hAnsi="AppleSystemUIFont"/>
          <w:sz w:val="18"/>
        </w:rPr>
        <w:t xml:space="preserve"> lub zadzwoń na infolinię B2B pod numer +49 6081 9419 300.</w:t>
      </w:r>
    </w:p>
    <w:sectPr w:rsidR="004D6A05" w:rsidRPr="00093F3C"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677ED" w14:textId="77777777" w:rsidR="00B262C1" w:rsidRDefault="00B262C1" w:rsidP="004330C6">
      <w:r>
        <w:separator/>
      </w:r>
    </w:p>
  </w:endnote>
  <w:endnote w:type="continuationSeparator" w:id="0">
    <w:p w14:paraId="22E38161" w14:textId="77777777" w:rsidR="00B262C1" w:rsidRDefault="00B262C1" w:rsidP="004330C6">
      <w:r>
        <w:continuationSeparator/>
      </w:r>
    </w:p>
  </w:endnote>
  <w:endnote w:type="continuationNotice" w:id="1">
    <w:p w14:paraId="1B39777B" w14:textId="77777777" w:rsidR="00B262C1" w:rsidRDefault="00B26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B262C1">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9578E" w14:textId="77777777" w:rsidR="00B262C1" w:rsidRDefault="00B262C1" w:rsidP="004330C6">
      <w:r>
        <w:separator/>
      </w:r>
    </w:p>
  </w:footnote>
  <w:footnote w:type="continuationSeparator" w:id="0">
    <w:p w14:paraId="1B9EEA4E" w14:textId="77777777" w:rsidR="00B262C1" w:rsidRDefault="00B262C1" w:rsidP="004330C6">
      <w:r>
        <w:continuationSeparator/>
      </w:r>
    </w:p>
  </w:footnote>
  <w:footnote w:type="continuationNotice" w:id="1">
    <w:p w14:paraId="2DC285E3" w14:textId="77777777" w:rsidR="00B262C1" w:rsidRDefault="00B262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7F91168E">
          <wp:extent cx="3216424" cy="71120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48325" cy="718254"/>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3BAC"/>
    <w:rsid w:val="00076E54"/>
    <w:rsid w:val="000818EA"/>
    <w:rsid w:val="00084FC4"/>
    <w:rsid w:val="000857C6"/>
    <w:rsid w:val="00085BC4"/>
    <w:rsid w:val="00086C2C"/>
    <w:rsid w:val="00087680"/>
    <w:rsid w:val="00092E57"/>
    <w:rsid w:val="00093AB0"/>
    <w:rsid w:val="00093B1E"/>
    <w:rsid w:val="00093F3C"/>
    <w:rsid w:val="00094511"/>
    <w:rsid w:val="00094AE6"/>
    <w:rsid w:val="000953FA"/>
    <w:rsid w:val="000A2210"/>
    <w:rsid w:val="000A5344"/>
    <w:rsid w:val="000A5712"/>
    <w:rsid w:val="000A5C5D"/>
    <w:rsid w:val="000A7A25"/>
    <w:rsid w:val="000B0857"/>
    <w:rsid w:val="000B6D57"/>
    <w:rsid w:val="000C154F"/>
    <w:rsid w:val="000C1C6F"/>
    <w:rsid w:val="000C27E2"/>
    <w:rsid w:val="000C2D39"/>
    <w:rsid w:val="000C5BAB"/>
    <w:rsid w:val="000C6A86"/>
    <w:rsid w:val="000C6D4C"/>
    <w:rsid w:val="000C79A0"/>
    <w:rsid w:val="000C79AD"/>
    <w:rsid w:val="000D3A5C"/>
    <w:rsid w:val="000D452C"/>
    <w:rsid w:val="000D5082"/>
    <w:rsid w:val="000E1221"/>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3C0"/>
    <w:rsid w:val="001A4A62"/>
    <w:rsid w:val="001B01AE"/>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4FEE"/>
    <w:rsid w:val="001F6733"/>
    <w:rsid w:val="0020235E"/>
    <w:rsid w:val="0020289F"/>
    <w:rsid w:val="002034DB"/>
    <w:rsid w:val="00207525"/>
    <w:rsid w:val="00210A34"/>
    <w:rsid w:val="00211528"/>
    <w:rsid w:val="00215123"/>
    <w:rsid w:val="00216B81"/>
    <w:rsid w:val="002171CF"/>
    <w:rsid w:val="002176EA"/>
    <w:rsid w:val="002209E2"/>
    <w:rsid w:val="00224636"/>
    <w:rsid w:val="00225884"/>
    <w:rsid w:val="00226FB4"/>
    <w:rsid w:val="0023005D"/>
    <w:rsid w:val="00233AA6"/>
    <w:rsid w:val="002346A4"/>
    <w:rsid w:val="00236CF6"/>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2FC1"/>
    <w:rsid w:val="002670A6"/>
    <w:rsid w:val="00270C10"/>
    <w:rsid w:val="00270E73"/>
    <w:rsid w:val="00272C87"/>
    <w:rsid w:val="0027394B"/>
    <w:rsid w:val="00281242"/>
    <w:rsid w:val="00283958"/>
    <w:rsid w:val="0028457E"/>
    <w:rsid w:val="00284CE2"/>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413B"/>
    <w:rsid w:val="003162DC"/>
    <w:rsid w:val="003166F2"/>
    <w:rsid w:val="00317208"/>
    <w:rsid w:val="003206A9"/>
    <w:rsid w:val="00320BB7"/>
    <w:rsid w:val="003254DC"/>
    <w:rsid w:val="00326928"/>
    <w:rsid w:val="00331396"/>
    <w:rsid w:val="00331C69"/>
    <w:rsid w:val="003378AB"/>
    <w:rsid w:val="0034015D"/>
    <w:rsid w:val="00340CFE"/>
    <w:rsid w:val="00340FD4"/>
    <w:rsid w:val="00341117"/>
    <w:rsid w:val="003416F0"/>
    <w:rsid w:val="003420A2"/>
    <w:rsid w:val="00342F94"/>
    <w:rsid w:val="003458A7"/>
    <w:rsid w:val="00347BE6"/>
    <w:rsid w:val="003520A7"/>
    <w:rsid w:val="003524DE"/>
    <w:rsid w:val="00353521"/>
    <w:rsid w:val="00354EDD"/>
    <w:rsid w:val="00356045"/>
    <w:rsid w:val="00357B4D"/>
    <w:rsid w:val="00361098"/>
    <w:rsid w:val="0036129A"/>
    <w:rsid w:val="00362474"/>
    <w:rsid w:val="00362C61"/>
    <w:rsid w:val="00365DE0"/>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9E1"/>
    <w:rsid w:val="003B3E5D"/>
    <w:rsid w:val="003B5FD5"/>
    <w:rsid w:val="003B7D3C"/>
    <w:rsid w:val="003C3F56"/>
    <w:rsid w:val="003C7650"/>
    <w:rsid w:val="003D0876"/>
    <w:rsid w:val="003D08B8"/>
    <w:rsid w:val="003D0E73"/>
    <w:rsid w:val="003D1AB9"/>
    <w:rsid w:val="003D3FE4"/>
    <w:rsid w:val="003E4B2D"/>
    <w:rsid w:val="003E5409"/>
    <w:rsid w:val="003E7E0B"/>
    <w:rsid w:val="003F1474"/>
    <w:rsid w:val="003F38DE"/>
    <w:rsid w:val="003F40DF"/>
    <w:rsid w:val="003F6959"/>
    <w:rsid w:val="004037C1"/>
    <w:rsid w:val="004059DC"/>
    <w:rsid w:val="00411C01"/>
    <w:rsid w:val="00412079"/>
    <w:rsid w:val="00415C69"/>
    <w:rsid w:val="00417120"/>
    <w:rsid w:val="004173E9"/>
    <w:rsid w:val="004175B6"/>
    <w:rsid w:val="0042082F"/>
    <w:rsid w:val="0042095F"/>
    <w:rsid w:val="00422766"/>
    <w:rsid w:val="00423793"/>
    <w:rsid w:val="004244A9"/>
    <w:rsid w:val="004273BC"/>
    <w:rsid w:val="004319BB"/>
    <w:rsid w:val="00432C94"/>
    <w:rsid w:val="004330C6"/>
    <w:rsid w:val="00435CF4"/>
    <w:rsid w:val="004360A7"/>
    <w:rsid w:val="004370E1"/>
    <w:rsid w:val="0043733D"/>
    <w:rsid w:val="004413F1"/>
    <w:rsid w:val="00445DF3"/>
    <w:rsid w:val="00446E02"/>
    <w:rsid w:val="00454D01"/>
    <w:rsid w:val="00454F01"/>
    <w:rsid w:val="00455A10"/>
    <w:rsid w:val="00455A64"/>
    <w:rsid w:val="004611CD"/>
    <w:rsid w:val="004624FD"/>
    <w:rsid w:val="0046543C"/>
    <w:rsid w:val="00467743"/>
    <w:rsid w:val="0047141F"/>
    <w:rsid w:val="00471643"/>
    <w:rsid w:val="004736E1"/>
    <w:rsid w:val="004739EC"/>
    <w:rsid w:val="00474003"/>
    <w:rsid w:val="00481A92"/>
    <w:rsid w:val="00483EB9"/>
    <w:rsid w:val="0048445A"/>
    <w:rsid w:val="00485602"/>
    <w:rsid w:val="004858F2"/>
    <w:rsid w:val="00491407"/>
    <w:rsid w:val="00493C0A"/>
    <w:rsid w:val="0049442A"/>
    <w:rsid w:val="00494BA5"/>
    <w:rsid w:val="00495CE2"/>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47A0"/>
    <w:rsid w:val="004C54C0"/>
    <w:rsid w:val="004C55F6"/>
    <w:rsid w:val="004C5926"/>
    <w:rsid w:val="004D1121"/>
    <w:rsid w:val="004D3BB0"/>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07BC"/>
    <w:rsid w:val="00511BAD"/>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68F6"/>
    <w:rsid w:val="005B0E42"/>
    <w:rsid w:val="005B40BC"/>
    <w:rsid w:val="005B49DD"/>
    <w:rsid w:val="005B7BB6"/>
    <w:rsid w:val="005C09DC"/>
    <w:rsid w:val="005C2AEB"/>
    <w:rsid w:val="005C3632"/>
    <w:rsid w:val="005C3B7F"/>
    <w:rsid w:val="005C4370"/>
    <w:rsid w:val="005C4A93"/>
    <w:rsid w:val="005C65C5"/>
    <w:rsid w:val="005D004D"/>
    <w:rsid w:val="005D2A25"/>
    <w:rsid w:val="005D3457"/>
    <w:rsid w:val="005D45A1"/>
    <w:rsid w:val="005D4D95"/>
    <w:rsid w:val="005D4E2E"/>
    <w:rsid w:val="005E7169"/>
    <w:rsid w:val="005E7263"/>
    <w:rsid w:val="005F14A6"/>
    <w:rsid w:val="005F2899"/>
    <w:rsid w:val="005F2FA3"/>
    <w:rsid w:val="005F3307"/>
    <w:rsid w:val="005F3FF6"/>
    <w:rsid w:val="005F6032"/>
    <w:rsid w:val="005F6DC8"/>
    <w:rsid w:val="00600743"/>
    <w:rsid w:val="00600DD1"/>
    <w:rsid w:val="0060526A"/>
    <w:rsid w:val="006054DA"/>
    <w:rsid w:val="00610CDC"/>
    <w:rsid w:val="00616381"/>
    <w:rsid w:val="006174E6"/>
    <w:rsid w:val="00625F74"/>
    <w:rsid w:val="006276A2"/>
    <w:rsid w:val="0063132F"/>
    <w:rsid w:val="00633CC0"/>
    <w:rsid w:val="006341EC"/>
    <w:rsid w:val="006355C2"/>
    <w:rsid w:val="006357EB"/>
    <w:rsid w:val="00635B71"/>
    <w:rsid w:val="00640BCD"/>
    <w:rsid w:val="00641372"/>
    <w:rsid w:val="00645254"/>
    <w:rsid w:val="00645AA1"/>
    <w:rsid w:val="00652A61"/>
    <w:rsid w:val="006534BD"/>
    <w:rsid w:val="00653B7A"/>
    <w:rsid w:val="006613C8"/>
    <w:rsid w:val="00667291"/>
    <w:rsid w:val="00670CFE"/>
    <w:rsid w:val="0067131C"/>
    <w:rsid w:val="00671D60"/>
    <w:rsid w:val="006777DC"/>
    <w:rsid w:val="006811A8"/>
    <w:rsid w:val="00681A06"/>
    <w:rsid w:val="00683F82"/>
    <w:rsid w:val="00687076"/>
    <w:rsid w:val="00691110"/>
    <w:rsid w:val="0069281C"/>
    <w:rsid w:val="006932A2"/>
    <w:rsid w:val="00695E19"/>
    <w:rsid w:val="00697CB3"/>
    <w:rsid w:val="006A2793"/>
    <w:rsid w:val="006A3D41"/>
    <w:rsid w:val="006A4552"/>
    <w:rsid w:val="006B4758"/>
    <w:rsid w:val="006B4C14"/>
    <w:rsid w:val="006B4DD2"/>
    <w:rsid w:val="006B763C"/>
    <w:rsid w:val="006B7A3B"/>
    <w:rsid w:val="006C2799"/>
    <w:rsid w:val="006C45CF"/>
    <w:rsid w:val="006C6659"/>
    <w:rsid w:val="006C6DBE"/>
    <w:rsid w:val="006D2E7A"/>
    <w:rsid w:val="006D65A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11806"/>
    <w:rsid w:val="007153F5"/>
    <w:rsid w:val="00715C0A"/>
    <w:rsid w:val="00715EE7"/>
    <w:rsid w:val="00716A8B"/>
    <w:rsid w:val="007201F8"/>
    <w:rsid w:val="00721C7D"/>
    <w:rsid w:val="0072231E"/>
    <w:rsid w:val="00722692"/>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21B9"/>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87AD0"/>
    <w:rsid w:val="007934A4"/>
    <w:rsid w:val="0079422C"/>
    <w:rsid w:val="00794BD0"/>
    <w:rsid w:val="0079754E"/>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4AE9"/>
    <w:rsid w:val="00827678"/>
    <w:rsid w:val="00827FBE"/>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4CD"/>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57355"/>
    <w:rsid w:val="0096430B"/>
    <w:rsid w:val="009643EB"/>
    <w:rsid w:val="00964D2F"/>
    <w:rsid w:val="009679FD"/>
    <w:rsid w:val="00967CA6"/>
    <w:rsid w:val="00970D9C"/>
    <w:rsid w:val="0097368B"/>
    <w:rsid w:val="00977584"/>
    <w:rsid w:val="009778CC"/>
    <w:rsid w:val="00977D9F"/>
    <w:rsid w:val="00984C15"/>
    <w:rsid w:val="00985EB0"/>
    <w:rsid w:val="00986235"/>
    <w:rsid w:val="00986817"/>
    <w:rsid w:val="00991CAE"/>
    <w:rsid w:val="0099352B"/>
    <w:rsid w:val="009A2A28"/>
    <w:rsid w:val="009A6C47"/>
    <w:rsid w:val="009B256E"/>
    <w:rsid w:val="009B4403"/>
    <w:rsid w:val="009B45B9"/>
    <w:rsid w:val="009B4941"/>
    <w:rsid w:val="009B56F9"/>
    <w:rsid w:val="009B6B63"/>
    <w:rsid w:val="009B7F41"/>
    <w:rsid w:val="009C2121"/>
    <w:rsid w:val="009C4597"/>
    <w:rsid w:val="009D0E75"/>
    <w:rsid w:val="009D35BA"/>
    <w:rsid w:val="009E41F8"/>
    <w:rsid w:val="009E697D"/>
    <w:rsid w:val="009E7449"/>
    <w:rsid w:val="009F0541"/>
    <w:rsid w:val="009F0FB4"/>
    <w:rsid w:val="009F1E08"/>
    <w:rsid w:val="009F3971"/>
    <w:rsid w:val="009F5FC7"/>
    <w:rsid w:val="009F650C"/>
    <w:rsid w:val="009F6AD8"/>
    <w:rsid w:val="00A01F71"/>
    <w:rsid w:val="00A06774"/>
    <w:rsid w:val="00A06844"/>
    <w:rsid w:val="00A06CE9"/>
    <w:rsid w:val="00A07409"/>
    <w:rsid w:val="00A07934"/>
    <w:rsid w:val="00A159D2"/>
    <w:rsid w:val="00A16704"/>
    <w:rsid w:val="00A17E32"/>
    <w:rsid w:val="00A20BD0"/>
    <w:rsid w:val="00A22785"/>
    <w:rsid w:val="00A279E4"/>
    <w:rsid w:val="00A345E5"/>
    <w:rsid w:val="00A34666"/>
    <w:rsid w:val="00A34A48"/>
    <w:rsid w:val="00A35289"/>
    <w:rsid w:val="00A36668"/>
    <w:rsid w:val="00A41BA8"/>
    <w:rsid w:val="00A42326"/>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1E60"/>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C7C07"/>
    <w:rsid w:val="00AD14DC"/>
    <w:rsid w:val="00AD56FA"/>
    <w:rsid w:val="00AD5721"/>
    <w:rsid w:val="00AE0BCA"/>
    <w:rsid w:val="00AE3DDB"/>
    <w:rsid w:val="00AE590B"/>
    <w:rsid w:val="00AF435C"/>
    <w:rsid w:val="00AF519B"/>
    <w:rsid w:val="00AF5939"/>
    <w:rsid w:val="00AF5B54"/>
    <w:rsid w:val="00AF5DDA"/>
    <w:rsid w:val="00AF613A"/>
    <w:rsid w:val="00AF6F9D"/>
    <w:rsid w:val="00AF722F"/>
    <w:rsid w:val="00B046B0"/>
    <w:rsid w:val="00B054C7"/>
    <w:rsid w:val="00B110FD"/>
    <w:rsid w:val="00B14C14"/>
    <w:rsid w:val="00B15D7E"/>
    <w:rsid w:val="00B1716F"/>
    <w:rsid w:val="00B21945"/>
    <w:rsid w:val="00B24385"/>
    <w:rsid w:val="00B262C1"/>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0A2"/>
    <w:rsid w:val="00B74CE5"/>
    <w:rsid w:val="00B74DAC"/>
    <w:rsid w:val="00B76096"/>
    <w:rsid w:val="00B8341B"/>
    <w:rsid w:val="00B91E90"/>
    <w:rsid w:val="00B93A62"/>
    <w:rsid w:val="00B943F0"/>
    <w:rsid w:val="00BA240A"/>
    <w:rsid w:val="00BA5240"/>
    <w:rsid w:val="00BA750F"/>
    <w:rsid w:val="00BA761B"/>
    <w:rsid w:val="00BB0030"/>
    <w:rsid w:val="00BB2B79"/>
    <w:rsid w:val="00BB35C1"/>
    <w:rsid w:val="00BB6DF3"/>
    <w:rsid w:val="00BC09BE"/>
    <w:rsid w:val="00BC2C84"/>
    <w:rsid w:val="00BC417C"/>
    <w:rsid w:val="00BD018E"/>
    <w:rsid w:val="00BD0A66"/>
    <w:rsid w:val="00BD1732"/>
    <w:rsid w:val="00BD18F0"/>
    <w:rsid w:val="00BE06B0"/>
    <w:rsid w:val="00BE46CC"/>
    <w:rsid w:val="00BE4BCC"/>
    <w:rsid w:val="00BE6961"/>
    <w:rsid w:val="00BF08EA"/>
    <w:rsid w:val="00BF2A3E"/>
    <w:rsid w:val="00BF38E8"/>
    <w:rsid w:val="00BF4061"/>
    <w:rsid w:val="00BF49DD"/>
    <w:rsid w:val="00BF5816"/>
    <w:rsid w:val="00BF658A"/>
    <w:rsid w:val="00BF6A1F"/>
    <w:rsid w:val="00C02554"/>
    <w:rsid w:val="00C028A4"/>
    <w:rsid w:val="00C03E6C"/>
    <w:rsid w:val="00C1180C"/>
    <w:rsid w:val="00C13D6C"/>
    <w:rsid w:val="00C15B2A"/>
    <w:rsid w:val="00C1680C"/>
    <w:rsid w:val="00C1710D"/>
    <w:rsid w:val="00C22730"/>
    <w:rsid w:val="00C25679"/>
    <w:rsid w:val="00C274BB"/>
    <w:rsid w:val="00C31E43"/>
    <w:rsid w:val="00C35086"/>
    <w:rsid w:val="00C3535E"/>
    <w:rsid w:val="00C36F66"/>
    <w:rsid w:val="00C40390"/>
    <w:rsid w:val="00C40FE1"/>
    <w:rsid w:val="00C432CE"/>
    <w:rsid w:val="00C45959"/>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4514"/>
    <w:rsid w:val="00D845EE"/>
    <w:rsid w:val="00D867F5"/>
    <w:rsid w:val="00D87DE6"/>
    <w:rsid w:val="00D909FA"/>
    <w:rsid w:val="00D915C1"/>
    <w:rsid w:val="00D92D46"/>
    <w:rsid w:val="00DA223F"/>
    <w:rsid w:val="00DA2287"/>
    <w:rsid w:val="00DA243C"/>
    <w:rsid w:val="00DA50B1"/>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1D4A"/>
    <w:rsid w:val="00E15D0A"/>
    <w:rsid w:val="00E1626C"/>
    <w:rsid w:val="00E169CD"/>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3FB"/>
    <w:rsid w:val="00E9699A"/>
    <w:rsid w:val="00E96DD6"/>
    <w:rsid w:val="00EA107B"/>
    <w:rsid w:val="00EA1913"/>
    <w:rsid w:val="00EB4FE9"/>
    <w:rsid w:val="00EC4813"/>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10AE8"/>
    <w:rsid w:val="00F1313D"/>
    <w:rsid w:val="00F14855"/>
    <w:rsid w:val="00F14951"/>
    <w:rsid w:val="00F15A85"/>
    <w:rsid w:val="00F161EC"/>
    <w:rsid w:val="00F164EA"/>
    <w:rsid w:val="00F20FF3"/>
    <w:rsid w:val="00F2115B"/>
    <w:rsid w:val="00F21E77"/>
    <w:rsid w:val="00F22DE6"/>
    <w:rsid w:val="00F2327C"/>
    <w:rsid w:val="00F23728"/>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64E"/>
    <w:rsid w:val="00F85366"/>
    <w:rsid w:val="00F90084"/>
    <w:rsid w:val="00F9119A"/>
    <w:rsid w:val="00FA0750"/>
    <w:rsid w:val="00FA0EA2"/>
    <w:rsid w:val="00FA1B47"/>
    <w:rsid w:val="00FA21A8"/>
    <w:rsid w:val="00FA42C1"/>
    <w:rsid w:val="00FA44D9"/>
    <w:rsid w:val="00FA5790"/>
    <w:rsid w:val="00FA59A8"/>
    <w:rsid w:val="00FB18D3"/>
    <w:rsid w:val="00FB2F96"/>
    <w:rsid w:val="00FB6F2A"/>
    <w:rsid w:val="00FB796E"/>
    <w:rsid w:val="00FC0737"/>
    <w:rsid w:val="00FC138A"/>
    <w:rsid w:val="00FC2346"/>
    <w:rsid w:val="00FC505E"/>
    <w:rsid w:val="00FC51BC"/>
    <w:rsid w:val="00FC713B"/>
    <w:rsid w:val="00FC7767"/>
    <w:rsid w:val="00FC7F35"/>
    <w:rsid w:val="00FD4793"/>
    <w:rsid w:val="00FD63AF"/>
    <w:rsid w:val="00FD6830"/>
    <w:rsid w:val="00FE0C86"/>
    <w:rsid w:val="00FE26FE"/>
    <w:rsid w:val="00FE4225"/>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pl-PL"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pl-PL"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pl-PL"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pl-PL"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pl-PL"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pl-PL"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de/questr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damhall.com/de-de/loesungen/integrated-syste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9AD757-924A-4A36-B2A7-D7BF2E5C9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0420F16B-7D36-46C1-B20A-BFF8326B39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5474</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5</cp:revision>
  <cp:lastPrinted>2019-01-10T17:28:00Z</cp:lastPrinted>
  <dcterms:created xsi:type="dcterms:W3CDTF">2025-01-15T09:36:00Z</dcterms:created>
  <dcterms:modified xsi:type="dcterms:W3CDTF">2025-01-19T09:55:00Z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