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11A50" w14:textId="77777777" w:rsidR="00B63285" w:rsidRPr="00E43E0D" w:rsidRDefault="00761D16">
      <w:pPr>
        <w:rPr>
          <w:rFonts w:ascii="Arial" w:hAnsi="Arial"/>
          <w:b/>
          <w:color w:val="000000" w:themeColor="text1"/>
          <w:sz w:val="28"/>
          <w:bdr w:val="none" w:sz="0" w:space="0" w:color="auto" w:frame="1"/>
          <w:lang w:val="pl-PL"/>
        </w:rPr>
      </w:pPr>
      <w:r w:rsidRPr="00E43E0D">
        <w:rPr>
          <w:rFonts w:ascii="Calibri" w:hAnsi="Calibri"/>
          <w:sz w:val="52"/>
          <w:lang w:val="pl-PL"/>
        </w:rPr>
        <w:t>Informacja prasowa</w:t>
      </w:r>
    </w:p>
    <w:p w14:paraId="107B1043" w14:textId="77777777" w:rsidR="004330C6" w:rsidRPr="00E43E0D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  <w:lang w:val="pl-PL"/>
        </w:rPr>
      </w:pPr>
    </w:p>
    <w:p w14:paraId="5C2B905A" w14:textId="77777777" w:rsidR="004330C6" w:rsidRPr="00E43E0D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  <w:lang w:val="pl-PL"/>
        </w:rPr>
      </w:pPr>
    </w:p>
    <w:p w14:paraId="34027B50" w14:textId="77777777" w:rsidR="00D55EF1" w:rsidRDefault="00D55EF1" w:rsidP="00D55EF1">
      <w:pPr>
        <w:rPr>
          <w:rFonts w:asciiTheme="minorHAnsi" w:hAnsiTheme="minorHAnsi" w:cstheme="minorHAnsi"/>
          <w:b/>
          <w:sz w:val="44"/>
          <w:szCs w:val="44"/>
          <w:lang w:val="en-US"/>
        </w:rPr>
      </w:pPr>
      <w:r w:rsidRPr="00D55EF1">
        <w:rPr>
          <w:rFonts w:asciiTheme="minorHAnsi" w:hAnsiTheme="minorHAnsi" w:cstheme="minorHAnsi"/>
          <w:b/>
          <w:sz w:val="44"/>
          <w:szCs w:val="44"/>
          <w:lang w:val="en-US"/>
        </w:rPr>
        <w:t xml:space="preserve">LD Systems </w:t>
      </w:r>
      <w:proofErr w:type="spellStart"/>
      <w:r w:rsidRPr="00D55EF1">
        <w:rPr>
          <w:rFonts w:asciiTheme="minorHAnsi" w:hAnsiTheme="minorHAnsi" w:cstheme="minorHAnsi"/>
          <w:b/>
          <w:sz w:val="44"/>
          <w:szCs w:val="44"/>
          <w:lang w:val="en-US"/>
        </w:rPr>
        <w:t>wprowadza</w:t>
      </w:r>
      <w:proofErr w:type="spellEnd"/>
      <w:r w:rsidRPr="00D55EF1">
        <w:rPr>
          <w:rFonts w:asciiTheme="minorHAnsi" w:hAnsiTheme="minorHAnsi" w:cstheme="minorHAnsi"/>
          <w:b/>
          <w:sz w:val="44"/>
          <w:szCs w:val="44"/>
          <w:lang w:val="en-US"/>
        </w:rPr>
        <w:t xml:space="preserve"> </w:t>
      </w:r>
      <w:proofErr w:type="spellStart"/>
      <w:r w:rsidRPr="00D55EF1">
        <w:rPr>
          <w:rFonts w:asciiTheme="minorHAnsi" w:hAnsiTheme="minorHAnsi" w:cstheme="minorHAnsi"/>
          <w:b/>
          <w:sz w:val="44"/>
          <w:szCs w:val="44"/>
          <w:lang w:val="en-US"/>
        </w:rPr>
        <w:t>nową</w:t>
      </w:r>
      <w:proofErr w:type="spellEnd"/>
      <w:r w:rsidRPr="00D55EF1">
        <w:rPr>
          <w:rFonts w:asciiTheme="minorHAnsi" w:hAnsiTheme="minorHAnsi" w:cstheme="minorHAnsi"/>
          <w:b/>
          <w:sz w:val="44"/>
          <w:szCs w:val="44"/>
          <w:lang w:val="en-US"/>
        </w:rPr>
        <w:t xml:space="preserve"> </w:t>
      </w:r>
      <w:proofErr w:type="spellStart"/>
      <w:r w:rsidRPr="00D55EF1">
        <w:rPr>
          <w:rFonts w:asciiTheme="minorHAnsi" w:hAnsiTheme="minorHAnsi" w:cstheme="minorHAnsi"/>
          <w:b/>
          <w:sz w:val="44"/>
          <w:szCs w:val="44"/>
          <w:lang w:val="en-US"/>
        </w:rPr>
        <w:t>serię</w:t>
      </w:r>
      <w:proofErr w:type="spellEnd"/>
      <w:r w:rsidRPr="00D55EF1">
        <w:rPr>
          <w:rFonts w:asciiTheme="minorHAnsi" w:hAnsiTheme="minorHAnsi" w:cstheme="minorHAnsi"/>
          <w:b/>
          <w:sz w:val="44"/>
          <w:szCs w:val="44"/>
          <w:lang w:val="en-US"/>
        </w:rPr>
        <w:t xml:space="preserve"> TICA® </w:t>
      </w:r>
      <w:proofErr w:type="spellStart"/>
      <w:r w:rsidRPr="00D55EF1">
        <w:rPr>
          <w:rFonts w:asciiTheme="minorHAnsi" w:hAnsiTheme="minorHAnsi" w:cstheme="minorHAnsi"/>
          <w:b/>
          <w:sz w:val="44"/>
          <w:szCs w:val="44"/>
          <w:lang w:val="en-US"/>
        </w:rPr>
        <w:t>na</w:t>
      </w:r>
      <w:proofErr w:type="spellEnd"/>
      <w:r w:rsidRPr="00D55EF1">
        <w:rPr>
          <w:rFonts w:asciiTheme="minorHAnsi" w:hAnsiTheme="minorHAnsi" w:cstheme="minorHAnsi"/>
          <w:b/>
          <w:sz w:val="44"/>
          <w:szCs w:val="44"/>
          <w:lang w:val="en-US"/>
        </w:rPr>
        <w:t xml:space="preserve"> </w:t>
      </w:r>
      <w:proofErr w:type="spellStart"/>
      <w:r w:rsidRPr="00D55EF1">
        <w:rPr>
          <w:rFonts w:asciiTheme="minorHAnsi" w:hAnsiTheme="minorHAnsi" w:cstheme="minorHAnsi"/>
          <w:b/>
          <w:sz w:val="44"/>
          <w:szCs w:val="44"/>
          <w:lang w:val="en-US"/>
        </w:rPr>
        <w:t>rynek</w:t>
      </w:r>
      <w:proofErr w:type="spellEnd"/>
      <w:r w:rsidRPr="00D55EF1">
        <w:rPr>
          <w:rFonts w:asciiTheme="minorHAnsi" w:hAnsiTheme="minorHAnsi" w:cstheme="minorHAnsi"/>
          <w:b/>
          <w:sz w:val="44"/>
          <w:szCs w:val="44"/>
          <w:lang w:val="en-US"/>
        </w:rPr>
        <w:t xml:space="preserve"> </w:t>
      </w:r>
      <w:proofErr w:type="spellStart"/>
      <w:r w:rsidRPr="00D55EF1">
        <w:rPr>
          <w:rFonts w:asciiTheme="minorHAnsi" w:hAnsiTheme="minorHAnsi" w:cstheme="minorHAnsi"/>
          <w:b/>
          <w:sz w:val="44"/>
          <w:szCs w:val="44"/>
          <w:lang w:val="en-US"/>
        </w:rPr>
        <w:t>instalacyjny</w:t>
      </w:r>
      <w:proofErr w:type="spellEnd"/>
    </w:p>
    <w:p w14:paraId="18B7BCE5" w14:textId="77777777" w:rsidR="00D55EF1" w:rsidRPr="00D55EF1" w:rsidRDefault="00D55EF1" w:rsidP="00D55EF1">
      <w:pPr>
        <w:rPr>
          <w:rFonts w:ascii="Arial" w:eastAsia="Arial" w:hAnsi="Arial" w:cs="Arial"/>
          <w:i/>
          <w:lang w:val="en-US"/>
        </w:rPr>
      </w:pPr>
      <w:proofErr w:type="spellStart"/>
      <w:r w:rsidRPr="00D55EF1">
        <w:rPr>
          <w:rFonts w:ascii="Arial" w:hAnsi="Arial"/>
          <w:i/>
          <w:lang w:val="en-US"/>
        </w:rPr>
        <w:t>Seria</w:t>
      </w:r>
      <w:proofErr w:type="spellEnd"/>
      <w:r w:rsidRPr="00D55EF1">
        <w:rPr>
          <w:rFonts w:ascii="Arial" w:hAnsi="Arial"/>
          <w:i/>
          <w:lang w:val="en-US"/>
        </w:rPr>
        <w:t xml:space="preserve"> </w:t>
      </w:r>
      <w:proofErr w:type="spellStart"/>
      <w:r w:rsidRPr="00D55EF1">
        <w:rPr>
          <w:rFonts w:ascii="Arial" w:hAnsi="Arial"/>
          <w:i/>
          <w:lang w:val="en-US"/>
        </w:rPr>
        <w:t>obejmuje</w:t>
      </w:r>
      <w:proofErr w:type="spellEnd"/>
      <w:r w:rsidRPr="00D55EF1">
        <w:rPr>
          <w:rFonts w:ascii="Arial" w:hAnsi="Arial"/>
          <w:i/>
          <w:lang w:val="en-US"/>
        </w:rPr>
        <w:t xml:space="preserve"> </w:t>
      </w:r>
      <w:proofErr w:type="spellStart"/>
      <w:r w:rsidRPr="00D55EF1">
        <w:rPr>
          <w:rFonts w:ascii="Arial" w:hAnsi="Arial"/>
          <w:i/>
          <w:lang w:val="en-US"/>
        </w:rPr>
        <w:t>produkty</w:t>
      </w:r>
      <w:proofErr w:type="spellEnd"/>
      <w:r w:rsidRPr="00D55EF1">
        <w:rPr>
          <w:rFonts w:ascii="Arial" w:hAnsi="Arial"/>
          <w:i/>
          <w:lang w:val="en-US"/>
        </w:rPr>
        <w:t xml:space="preserve">, </w:t>
      </w:r>
      <w:proofErr w:type="spellStart"/>
      <w:r w:rsidRPr="00D55EF1">
        <w:rPr>
          <w:rFonts w:ascii="Arial" w:hAnsi="Arial"/>
          <w:i/>
          <w:lang w:val="en-US"/>
        </w:rPr>
        <w:t>które</w:t>
      </w:r>
      <w:proofErr w:type="spellEnd"/>
      <w:r w:rsidRPr="00D55EF1">
        <w:rPr>
          <w:rFonts w:ascii="Arial" w:hAnsi="Arial"/>
          <w:i/>
          <w:lang w:val="en-US"/>
        </w:rPr>
        <w:t xml:space="preserve"> </w:t>
      </w:r>
      <w:proofErr w:type="spellStart"/>
      <w:r w:rsidRPr="00D55EF1">
        <w:rPr>
          <w:rFonts w:ascii="Arial" w:hAnsi="Arial"/>
          <w:i/>
          <w:lang w:val="en-US"/>
        </w:rPr>
        <w:t>nadają</w:t>
      </w:r>
      <w:proofErr w:type="spellEnd"/>
      <w:r w:rsidRPr="00D55EF1">
        <w:rPr>
          <w:rFonts w:ascii="Arial" w:hAnsi="Arial"/>
          <w:i/>
          <w:lang w:val="en-US"/>
        </w:rPr>
        <w:t xml:space="preserve"> </w:t>
      </w:r>
      <w:proofErr w:type="spellStart"/>
      <w:r w:rsidRPr="00D55EF1">
        <w:rPr>
          <w:rFonts w:ascii="Arial" w:hAnsi="Arial"/>
          <w:i/>
          <w:lang w:val="en-US"/>
        </w:rPr>
        <w:t>się</w:t>
      </w:r>
      <w:proofErr w:type="spellEnd"/>
      <w:r w:rsidRPr="00D55EF1">
        <w:rPr>
          <w:rFonts w:ascii="Arial" w:hAnsi="Arial"/>
          <w:i/>
          <w:lang w:val="en-US"/>
        </w:rPr>
        <w:t xml:space="preserve"> do </w:t>
      </w:r>
      <w:proofErr w:type="spellStart"/>
      <w:r w:rsidRPr="00D55EF1">
        <w:rPr>
          <w:rFonts w:ascii="Arial" w:hAnsi="Arial"/>
          <w:i/>
          <w:lang w:val="en-US"/>
        </w:rPr>
        <w:t>wielu</w:t>
      </w:r>
      <w:proofErr w:type="spellEnd"/>
      <w:r w:rsidRPr="00D55EF1">
        <w:rPr>
          <w:rFonts w:ascii="Arial" w:hAnsi="Arial"/>
          <w:i/>
          <w:lang w:val="en-US"/>
        </w:rPr>
        <w:t xml:space="preserve"> </w:t>
      </w:r>
      <w:proofErr w:type="spellStart"/>
      <w:r w:rsidRPr="00D55EF1">
        <w:rPr>
          <w:rFonts w:ascii="Arial" w:hAnsi="Arial"/>
          <w:i/>
          <w:lang w:val="en-US"/>
        </w:rPr>
        <w:t>zastosowań</w:t>
      </w:r>
      <w:proofErr w:type="spellEnd"/>
      <w:r w:rsidRPr="00D55EF1">
        <w:rPr>
          <w:rFonts w:ascii="Arial" w:hAnsi="Arial"/>
          <w:i/>
          <w:lang w:val="en-US"/>
        </w:rPr>
        <w:t>.</w:t>
      </w:r>
    </w:p>
    <w:p w14:paraId="573AD20A" w14:textId="77777777" w:rsidR="00780A4D" w:rsidRPr="00D55EF1" w:rsidRDefault="00780A4D" w:rsidP="00C028A4">
      <w:pPr>
        <w:rPr>
          <w:rFonts w:ascii="Calibri" w:hAnsi="Calibri" w:cs="Calibri"/>
          <w:b/>
          <w:color w:val="0D0D0D" w:themeColor="text1" w:themeTint="F2"/>
          <w:sz w:val="44"/>
          <w:szCs w:val="44"/>
          <w:bdr w:val="none" w:sz="0" w:space="0" w:color="auto" w:frame="1"/>
          <w:lang w:val="en-US"/>
        </w:rPr>
      </w:pPr>
    </w:p>
    <w:p w14:paraId="115F051C" w14:textId="43E6FFC7" w:rsidR="00D55EF1" w:rsidRPr="00907398" w:rsidRDefault="00761D16" w:rsidP="00D55EF1">
      <w:pPr>
        <w:rPr>
          <w:rFonts w:asciiTheme="minorHAnsi" w:eastAsia="Arial" w:hAnsiTheme="minorHAnsi" w:cstheme="minorHAnsi"/>
          <w:sz w:val="22"/>
          <w:szCs w:val="22"/>
          <w:lang w:val="pl-PL"/>
        </w:rPr>
      </w:pPr>
      <w:proofErr w:type="spellStart"/>
      <w:r w:rsidRPr="00E43E0D">
        <w:rPr>
          <w:rFonts w:ascii="Calibri" w:hAnsi="Calibri" w:cs="Calibri"/>
          <w:b/>
          <w:i/>
          <w:iCs/>
          <w:color w:val="0D0D0D" w:themeColor="text1" w:themeTint="F2"/>
          <w:sz w:val="22"/>
          <w:szCs w:val="22"/>
          <w:bdr w:val="none" w:sz="0" w:space="0" w:color="auto" w:frame="1"/>
          <w:lang w:val="pl-PL"/>
        </w:rPr>
        <w:t>Neu-Anspach</w:t>
      </w:r>
      <w:proofErr w:type="spellEnd"/>
      <w:r w:rsidR="00C30965" w:rsidRPr="00E43E0D">
        <w:rPr>
          <w:rFonts w:ascii="Calibri" w:hAnsi="Calibri" w:cs="Calibri"/>
          <w:b/>
          <w:i/>
          <w:iCs/>
          <w:color w:val="0D0D0D" w:themeColor="text1" w:themeTint="F2"/>
          <w:sz w:val="22"/>
          <w:szCs w:val="22"/>
          <w:bdr w:val="none" w:sz="0" w:space="0" w:color="auto" w:frame="1"/>
          <w:lang w:val="pl-PL"/>
        </w:rPr>
        <w:t xml:space="preserve">, </w:t>
      </w:r>
      <w:r w:rsidR="00C30965" w:rsidRPr="00D55EF1">
        <w:rPr>
          <w:rFonts w:ascii="Calibri" w:hAnsi="Calibri" w:cs="Calibri"/>
          <w:b/>
          <w:i/>
          <w:iCs/>
          <w:color w:val="0D0D0D" w:themeColor="text1" w:themeTint="F2"/>
          <w:sz w:val="22"/>
          <w:szCs w:val="22"/>
          <w:bdr w:val="none" w:sz="0" w:space="0" w:color="auto" w:frame="1"/>
          <w:lang w:val="pl-PL"/>
        </w:rPr>
        <w:t>Niemcy</w:t>
      </w:r>
      <w:r w:rsidR="00823E59" w:rsidRPr="00D55EF1">
        <w:rPr>
          <w:rFonts w:ascii="Calibri" w:hAnsi="Calibri" w:cs="Calibri"/>
          <w:b/>
          <w:i/>
          <w:iCs/>
          <w:color w:val="0D0D0D" w:themeColor="text1" w:themeTint="F2"/>
          <w:sz w:val="22"/>
          <w:szCs w:val="22"/>
          <w:bdr w:val="none" w:sz="0" w:space="0" w:color="auto" w:frame="1"/>
          <w:lang w:val="pl-PL"/>
        </w:rPr>
        <w:t xml:space="preserve">, </w:t>
      </w:r>
      <w:r w:rsidR="00B93723">
        <w:rPr>
          <w:rFonts w:ascii="Calibri" w:hAnsi="Calibri" w:cs="Calibri"/>
          <w:b/>
          <w:i/>
          <w:iCs/>
          <w:color w:val="0D0D0D" w:themeColor="text1" w:themeTint="F2"/>
          <w:sz w:val="22"/>
          <w:szCs w:val="22"/>
          <w:bdr w:val="none" w:sz="0" w:space="0" w:color="auto" w:frame="1"/>
          <w:lang w:val="pl-PL"/>
        </w:rPr>
        <w:t>2</w:t>
      </w:r>
      <w:r w:rsidR="00D55EF1" w:rsidRPr="00D55EF1">
        <w:rPr>
          <w:rFonts w:ascii="Calibri" w:hAnsi="Calibri" w:cs="Calibri"/>
          <w:b/>
          <w:i/>
          <w:iCs/>
          <w:color w:val="0D0D0D" w:themeColor="text1" w:themeTint="F2"/>
          <w:sz w:val="22"/>
          <w:szCs w:val="22"/>
          <w:bdr w:val="none" w:sz="0" w:space="0" w:color="auto" w:frame="1"/>
          <w:lang w:val="pl-PL"/>
        </w:rPr>
        <w:t xml:space="preserve">. listopada </w:t>
      </w:r>
      <w:r w:rsidR="003453B8" w:rsidRPr="00D55EF1">
        <w:rPr>
          <w:rFonts w:ascii="Calibri" w:hAnsi="Calibri" w:cs="Calibri"/>
          <w:b/>
          <w:i/>
          <w:iCs/>
          <w:color w:val="000000" w:themeColor="text1"/>
          <w:sz w:val="22"/>
          <w:szCs w:val="22"/>
          <w:bdr w:val="none" w:sz="0" w:space="0" w:color="auto" w:frame="1"/>
          <w:lang w:val="pl-PL"/>
        </w:rPr>
        <w:t>2023</w:t>
      </w:r>
      <w:r w:rsidR="003453B8" w:rsidRPr="00E43E0D">
        <w:rPr>
          <w:rFonts w:ascii="Calibri" w:hAnsi="Calibri" w:cs="Calibri"/>
          <w:b/>
          <w:i/>
          <w:iCs/>
          <w:color w:val="000000" w:themeColor="text1"/>
          <w:sz w:val="22"/>
          <w:szCs w:val="22"/>
          <w:bdr w:val="none" w:sz="0" w:space="0" w:color="auto" w:frame="1"/>
          <w:lang w:val="pl-PL"/>
        </w:rPr>
        <w:t xml:space="preserve"> </w:t>
      </w:r>
      <w:r w:rsidR="00C30965" w:rsidRPr="00E43E0D"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  <w:lang w:val="pl-PL"/>
        </w:rPr>
        <w:t xml:space="preserve">- </w:t>
      </w:r>
      <w:r w:rsidR="00D55EF1" w:rsidRPr="00907398">
        <w:rPr>
          <w:rFonts w:asciiTheme="minorHAnsi" w:hAnsiTheme="minorHAnsi" w:cstheme="minorHAnsi"/>
          <w:b/>
          <w:bCs/>
          <w:sz w:val="22"/>
          <w:szCs w:val="22"/>
          <w:lang w:val="pl-PL"/>
        </w:rPr>
        <w:t>Marka LD Systems wprowadziła na rynek zupełnie nową gamę produktów przeznaczonych specjalnie na rynek instalacyjny. Seria TICA® oferuje kompaktowe rozwiązania dla projektów dowolnej wielkości, które są elastyczne, łatwe w instalacji i wyposażone w funkcje zapewniające lepszy dźwięk i kontrolę.</w:t>
      </w:r>
    </w:p>
    <w:p w14:paraId="0553D094" w14:textId="77777777" w:rsidR="00D55EF1" w:rsidRPr="00907398" w:rsidRDefault="00D55EF1" w:rsidP="00D55EF1">
      <w:pPr>
        <w:rPr>
          <w:rFonts w:asciiTheme="minorHAnsi" w:eastAsia="Arial" w:hAnsiTheme="minorHAnsi" w:cstheme="minorHAnsi"/>
          <w:sz w:val="22"/>
          <w:szCs w:val="22"/>
          <w:lang w:val="pl-PL"/>
        </w:rPr>
      </w:pPr>
    </w:p>
    <w:p w14:paraId="7B75633A" w14:textId="77777777" w:rsidR="00D55EF1" w:rsidRPr="00907398" w:rsidRDefault="00D55EF1" w:rsidP="00D55EF1">
      <w:pPr>
        <w:rPr>
          <w:rFonts w:asciiTheme="minorHAnsi" w:eastAsia="Arial" w:hAnsiTheme="minorHAnsi" w:cstheme="minorHAnsi"/>
          <w:sz w:val="22"/>
          <w:szCs w:val="22"/>
          <w:lang w:val="pl-PL"/>
        </w:rPr>
      </w:pPr>
      <w:r w:rsidRPr="00907398">
        <w:rPr>
          <w:rFonts w:asciiTheme="minorHAnsi" w:hAnsiTheme="minorHAnsi" w:cstheme="minorHAnsi"/>
          <w:sz w:val="22"/>
          <w:szCs w:val="22"/>
          <w:lang w:val="pl-PL"/>
        </w:rPr>
        <w:t>Seria obejmuje wszystko, od przedwzmacniaczy do strumieniowania multimediów i miksowania po szereg wzmacniaczy o różnych kanałach i mocach wyjściowych. Dostępne są również sieciowe interfejsy audio Dante, transformatory, wzmacniacze słuchawkowe i interfejsy sterujące.</w:t>
      </w:r>
    </w:p>
    <w:p w14:paraId="616CA161" w14:textId="77777777" w:rsidR="00D55EF1" w:rsidRPr="00907398" w:rsidRDefault="00D55EF1" w:rsidP="00D55EF1">
      <w:pPr>
        <w:rPr>
          <w:rFonts w:asciiTheme="minorHAnsi" w:eastAsia="Arial" w:hAnsiTheme="minorHAnsi" w:cstheme="minorHAnsi"/>
          <w:sz w:val="22"/>
          <w:szCs w:val="22"/>
          <w:lang w:val="pl-PL"/>
        </w:rPr>
      </w:pPr>
    </w:p>
    <w:p w14:paraId="1F77E314" w14:textId="77777777" w:rsidR="00D55EF1" w:rsidRPr="00907398" w:rsidRDefault="00D55EF1" w:rsidP="00D55EF1">
      <w:pPr>
        <w:rPr>
          <w:rFonts w:asciiTheme="minorHAnsi" w:eastAsia="Arial" w:hAnsiTheme="minorHAnsi" w:cstheme="minorHAnsi"/>
          <w:sz w:val="22"/>
          <w:szCs w:val="22"/>
          <w:lang w:val="pl-PL"/>
        </w:rPr>
      </w:pPr>
      <w:r w:rsidRPr="00907398">
        <w:rPr>
          <w:rFonts w:asciiTheme="minorHAnsi" w:hAnsiTheme="minorHAnsi" w:cstheme="minorHAnsi"/>
          <w:sz w:val="22"/>
          <w:szCs w:val="22"/>
          <w:lang w:val="pl-PL"/>
        </w:rPr>
        <w:t>Instalatorzy mogą tworzyć całe systemy przy użyciu produktów z tej serii lub alternatywnie, seria TICA® może być zintegrowana z istniejącą instalacją, zapewniając dodatkowe połączenia lub strefy. Są to małe, funkcjonalne, jednofunkcyjne produkty, które są dostępne i niezwykle łatwe w instalacji.</w:t>
      </w:r>
    </w:p>
    <w:p w14:paraId="554F2BC3" w14:textId="77777777" w:rsidR="00D55EF1" w:rsidRPr="00907398" w:rsidRDefault="00D55EF1" w:rsidP="00D55EF1">
      <w:pPr>
        <w:rPr>
          <w:rFonts w:asciiTheme="minorHAnsi" w:eastAsia="Arial" w:hAnsiTheme="minorHAnsi" w:cstheme="minorHAnsi"/>
          <w:sz w:val="22"/>
          <w:szCs w:val="22"/>
          <w:lang w:val="pl-PL"/>
        </w:rPr>
      </w:pPr>
    </w:p>
    <w:p w14:paraId="594ECC34" w14:textId="77777777" w:rsidR="00D55EF1" w:rsidRPr="00907398" w:rsidRDefault="00D55EF1" w:rsidP="00D55EF1">
      <w:pPr>
        <w:rPr>
          <w:rFonts w:asciiTheme="minorHAnsi" w:eastAsia="Arial" w:hAnsiTheme="minorHAnsi" w:cstheme="minorHAnsi"/>
          <w:sz w:val="22"/>
          <w:szCs w:val="22"/>
          <w:highlight w:val="white"/>
          <w:lang w:val="pl-PL"/>
        </w:rPr>
      </w:pPr>
      <w:r w:rsidRPr="00907398">
        <w:rPr>
          <w:rFonts w:asciiTheme="minorHAnsi" w:hAnsiTheme="minorHAnsi" w:cstheme="minorHAnsi"/>
          <w:sz w:val="22"/>
          <w:szCs w:val="22"/>
          <w:lang w:val="pl-PL"/>
        </w:rPr>
        <w:t xml:space="preserve">"Nasze interfejsy DIO Dante rozszerzyły nasze portfolio Dante i spodziewamy się, że integratorzy chętnie wypróbują te nowe produkty" - wyjaśnia </w:t>
      </w:r>
      <w:r w:rsidRPr="00907398">
        <w:rPr>
          <w:rFonts w:asciiTheme="minorHAnsi" w:hAnsiTheme="minorHAnsi" w:cstheme="minorHAnsi"/>
          <w:sz w:val="22"/>
          <w:szCs w:val="22"/>
          <w:highlight w:val="white"/>
          <w:lang w:val="pl-PL"/>
        </w:rPr>
        <w:t xml:space="preserve">Gabriel Alonso </w:t>
      </w:r>
      <w:proofErr w:type="spellStart"/>
      <w:r w:rsidRPr="00907398">
        <w:rPr>
          <w:rFonts w:asciiTheme="minorHAnsi" w:hAnsiTheme="minorHAnsi" w:cstheme="minorHAnsi"/>
          <w:sz w:val="22"/>
          <w:szCs w:val="22"/>
          <w:highlight w:val="white"/>
          <w:lang w:val="pl-PL"/>
        </w:rPr>
        <w:t>Calvillo</w:t>
      </w:r>
      <w:proofErr w:type="spellEnd"/>
    </w:p>
    <w:p w14:paraId="3EFCC41A" w14:textId="77777777" w:rsidR="00D55EF1" w:rsidRPr="00907398" w:rsidRDefault="00D55EF1" w:rsidP="00D55EF1">
      <w:pPr>
        <w:rPr>
          <w:rFonts w:asciiTheme="minorHAnsi" w:eastAsia="Arial" w:hAnsiTheme="minorHAnsi" w:cstheme="minorHAnsi"/>
          <w:sz w:val="22"/>
          <w:szCs w:val="22"/>
          <w:lang w:val="pl-PL"/>
        </w:rPr>
      </w:pPr>
      <w:r w:rsidRPr="00907398">
        <w:rPr>
          <w:rFonts w:asciiTheme="minorHAnsi" w:hAnsiTheme="minorHAnsi" w:cstheme="minorHAnsi"/>
          <w:sz w:val="22"/>
          <w:szCs w:val="22"/>
          <w:highlight w:val="white"/>
          <w:lang w:val="pl-PL"/>
        </w:rPr>
        <w:t>Menedżer produktu, systemy zintegrowane.</w:t>
      </w:r>
      <w:r w:rsidRPr="00907398">
        <w:rPr>
          <w:rFonts w:asciiTheme="minorHAnsi" w:hAnsiTheme="minorHAnsi" w:cstheme="minorHAnsi"/>
          <w:sz w:val="22"/>
          <w:szCs w:val="22"/>
          <w:lang w:val="pl-PL"/>
        </w:rPr>
        <w:t xml:space="preserve"> Interfejsy DIO 44 i DIO 22 Dante posiadają czterostopniową regulację wzmocnienia i zasilanie </w:t>
      </w:r>
      <w:proofErr w:type="spellStart"/>
      <w:r w:rsidRPr="00907398">
        <w:rPr>
          <w:rFonts w:asciiTheme="minorHAnsi" w:hAnsiTheme="minorHAnsi" w:cstheme="minorHAnsi"/>
          <w:sz w:val="22"/>
          <w:szCs w:val="22"/>
          <w:lang w:val="pl-PL"/>
        </w:rPr>
        <w:t>phantom</w:t>
      </w:r>
      <w:proofErr w:type="spellEnd"/>
      <w:r w:rsidRPr="00907398">
        <w:rPr>
          <w:rFonts w:asciiTheme="minorHAnsi" w:hAnsiTheme="minorHAnsi" w:cstheme="minorHAnsi"/>
          <w:sz w:val="22"/>
          <w:szCs w:val="22"/>
          <w:lang w:val="pl-PL"/>
        </w:rPr>
        <w:t xml:space="preserve"> 24V na kanał. Dodatkowo, wszystkie interfejsy posiadają wskaźniki sygnału i mogą być łączone łańcuchowo.</w:t>
      </w:r>
    </w:p>
    <w:p w14:paraId="01FBF1CA" w14:textId="77777777" w:rsidR="00D55EF1" w:rsidRPr="00907398" w:rsidRDefault="00D55EF1" w:rsidP="00D55EF1">
      <w:pPr>
        <w:rPr>
          <w:rFonts w:asciiTheme="minorHAnsi" w:eastAsia="Arial" w:hAnsiTheme="minorHAnsi" w:cstheme="minorHAnsi"/>
          <w:sz w:val="22"/>
          <w:szCs w:val="22"/>
          <w:lang w:val="pl-PL"/>
        </w:rPr>
      </w:pPr>
    </w:p>
    <w:p w14:paraId="39778BC7" w14:textId="77777777" w:rsidR="00D55EF1" w:rsidRPr="00907398" w:rsidRDefault="00D55EF1" w:rsidP="00D55EF1">
      <w:pPr>
        <w:rPr>
          <w:rFonts w:asciiTheme="minorHAnsi" w:eastAsia="Arial" w:hAnsiTheme="minorHAnsi" w:cstheme="minorHAnsi"/>
          <w:sz w:val="22"/>
          <w:szCs w:val="22"/>
          <w:lang w:val="pl-PL"/>
        </w:rPr>
      </w:pPr>
      <w:r w:rsidRPr="00907398">
        <w:rPr>
          <w:rFonts w:asciiTheme="minorHAnsi" w:hAnsiTheme="minorHAnsi" w:cstheme="minorHAnsi"/>
          <w:sz w:val="22"/>
          <w:szCs w:val="22"/>
          <w:lang w:val="pl-PL"/>
        </w:rPr>
        <w:t>"Wraz z serią TICA® oferujemy również kilka modeli mini wzmacniaczy z wyjściami o niskiej lub wysokiej impedancji", mówi Gabriel. "Posiadają one różne połączenia wejściowe i proste opcje sterowania przez osoby trzecie za pośrednictwem GPI lub wejść sterowanych napięciem".</w:t>
      </w:r>
    </w:p>
    <w:p w14:paraId="3A3A3061" w14:textId="77777777" w:rsidR="00D55EF1" w:rsidRPr="00907398" w:rsidRDefault="00D55EF1" w:rsidP="00D55EF1">
      <w:pPr>
        <w:rPr>
          <w:rFonts w:asciiTheme="minorHAnsi" w:eastAsia="Arial" w:hAnsiTheme="minorHAnsi" w:cstheme="minorHAnsi"/>
          <w:sz w:val="22"/>
          <w:szCs w:val="22"/>
          <w:lang w:val="pl-PL"/>
        </w:rPr>
      </w:pPr>
    </w:p>
    <w:p w14:paraId="655ED6F9" w14:textId="77777777" w:rsidR="00D55EF1" w:rsidRPr="00907398" w:rsidRDefault="00D55EF1" w:rsidP="00D55EF1">
      <w:pPr>
        <w:rPr>
          <w:rFonts w:asciiTheme="minorHAnsi" w:eastAsia="Arial" w:hAnsiTheme="minorHAnsi" w:cstheme="minorHAnsi"/>
          <w:sz w:val="22"/>
          <w:szCs w:val="22"/>
          <w:lang w:val="pl-PL"/>
        </w:rPr>
      </w:pPr>
      <w:r w:rsidRPr="00907398">
        <w:rPr>
          <w:rFonts w:asciiTheme="minorHAnsi" w:hAnsiTheme="minorHAnsi" w:cstheme="minorHAnsi"/>
          <w:sz w:val="22"/>
          <w:szCs w:val="22"/>
          <w:lang w:val="pl-PL"/>
        </w:rPr>
        <w:t>AMP 205 to dwukanałowy mini wzmacniacz, który łączy kompaktowe rozmiary z pasywnym chłodzeniem i wysoką wydajnością. Jest on zasilany przez wzmacniacz klasy D o mocy 2 x 50 W, posiada 4-omowe wyjścia i przyjazny dla użytkownika panel przedni. AMP 106 T to 1-kanałowy wzmacniacz klasy D o mocy 60 W, który może napędzać systemy głośników o niskiej impedancji lub w liniach 70/100 V. Jego niewielka forma jest idealna dla instalatorów, którzy pracują nad projektami o ograniczonej przestrzeni lub tam, gdzie ważna jest estetyka.</w:t>
      </w:r>
    </w:p>
    <w:p w14:paraId="0269F137" w14:textId="77777777" w:rsidR="00D55EF1" w:rsidRPr="00907398" w:rsidRDefault="00D55EF1" w:rsidP="00D55EF1">
      <w:pPr>
        <w:rPr>
          <w:rFonts w:asciiTheme="minorHAnsi" w:eastAsia="Arial" w:hAnsiTheme="minorHAnsi" w:cstheme="minorHAnsi"/>
          <w:sz w:val="22"/>
          <w:szCs w:val="22"/>
          <w:lang w:val="pl-PL"/>
        </w:rPr>
      </w:pPr>
    </w:p>
    <w:p w14:paraId="35578DE4" w14:textId="77777777" w:rsidR="00D55EF1" w:rsidRPr="00907398" w:rsidRDefault="00D55EF1" w:rsidP="00D55EF1">
      <w:pPr>
        <w:rPr>
          <w:rFonts w:asciiTheme="minorHAnsi" w:eastAsia="Arial" w:hAnsiTheme="minorHAnsi" w:cstheme="minorHAnsi"/>
          <w:sz w:val="22"/>
          <w:szCs w:val="22"/>
          <w:lang w:val="pl-PL"/>
        </w:rPr>
      </w:pPr>
      <w:r w:rsidRPr="00907398">
        <w:rPr>
          <w:rFonts w:asciiTheme="minorHAnsi" w:hAnsiTheme="minorHAnsi" w:cstheme="minorHAnsi"/>
          <w:sz w:val="22"/>
          <w:szCs w:val="22"/>
          <w:lang w:val="pl-PL"/>
        </w:rPr>
        <w:t xml:space="preserve">Seria TICA® została zaprojektowana do zastosowań w hotelarstwie, handlu detalicznym, korporacjach i edukacji. Wszystkie produkty są niezwykle kompaktowe, dzięki czemu z łatwością dopasujesz je do każdego projektu. Możesz zainstalować je pod stołami, za ekranami i w sufitach, a instalatorzy mogą użyć półki </w:t>
      </w:r>
      <w:proofErr w:type="spellStart"/>
      <w:r w:rsidRPr="00907398">
        <w:rPr>
          <w:rFonts w:asciiTheme="minorHAnsi" w:hAnsiTheme="minorHAnsi" w:cstheme="minorHAnsi"/>
          <w:sz w:val="22"/>
          <w:szCs w:val="22"/>
          <w:lang w:val="pl-PL"/>
        </w:rPr>
        <w:t>rack</w:t>
      </w:r>
      <w:proofErr w:type="spellEnd"/>
      <w:r w:rsidRPr="00907398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907398">
        <w:rPr>
          <w:rFonts w:asciiTheme="minorHAnsi" w:hAnsiTheme="minorHAnsi" w:cstheme="minorHAnsi"/>
          <w:sz w:val="22"/>
          <w:szCs w:val="22"/>
          <w:lang w:val="pl-PL"/>
        </w:rPr>
        <w:lastRenderedPageBreak/>
        <w:t>1U TICA, aby umieścić cztery urządzenia obok siebie. Seria TICA® daje integratorom możliwość zbudowania systemu, który dokładnie spełnia wymagania projektu przy minimalnej ilości miejsca w szafie.</w:t>
      </w:r>
    </w:p>
    <w:p w14:paraId="7AEB4589" w14:textId="77777777" w:rsidR="00D55EF1" w:rsidRPr="00907398" w:rsidRDefault="00D55EF1" w:rsidP="00D55EF1">
      <w:pPr>
        <w:rPr>
          <w:rFonts w:asciiTheme="minorHAnsi" w:eastAsia="Arial" w:hAnsiTheme="minorHAnsi" w:cstheme="minorHAnsi"/>
          <w:sz w:val="22"/>
          <w:szCs w:val="22"/>
          <w:lang w:val="pl-PL"/>
        </w:rPr>
      </w:pPr>
    </w:p>
    <w:p w14:paraId="2ED78438" w14:textId="77777777" w:rsidR="00D55EF1" w:rsidRPr="00907398" w:rsidRDefault="00D55EF1" w:rsidP="00D55EF1">
      <w:pPr>
        <w:rPr>
          <w:rFonts w:asciiTheme="minorHAnsi" w:eastAsia="Arial" w:hAnsiTheme="minorHAnsi" w:cstheme="minorHAnsi"/>
          <w:sz w:val="22"/>
          <w:szCs w:val="22"/>
          <w:lang w:val="pl-PL"/>
        </w:rPr>
      </w:pPr>
      <w:r w:rsidRPr="00907398">
        <w:rPr>
          <w:rFonts w:asciiTheme="minorHAnsi" w:hAnsiTheme="minorHAnsi" w:cstheme="minorHAnsi"/>
          <w:sz w:val="22"/>
          <w:szCs w:val="22"/>
          <w:lang w:val="pl-PL"/>
        </w:rPr>
        <w:t>"Seria TICA® została zaprojektowana zarówno dla przeszkolonych profesjonalistów, jak i użytkowników, którzy niekoniecznie posiadają wysoki poziom wiedzy technicznej. Produkty z tej serii są łatwe w użyciu i nie mają wielu utrudniających pracę elementów sterujących. TICA® nie jest zbyt skomplikowana dla konsumenta i nie wygląda na zbyt skoncentrowaną na konsumencie dla profesjonalnych instalatorów" - dodaje Gabriel. "To bardzo ekscytujące wydarzenie dla LD Systems, ponieważ możemy teraz zaoferować instalatorom wysokiej jakości, wygodne i opłacalne rozwiązanie dla szerokiej gamy projektów".</w:t>
      </w:r>
    </w:p>
    <w:p w14:paraId="1CF81E1B" w14:textId="77777777" w:rsidR="00D55EF1" w:rsidRPr="00907398" w:rsidRDefault="00D55EF1" w:rsidP="00D55EF1">
      <w:pPr>
        <w:rPr>
          <w:rFonts w:asciiTheme="minorHAnsi" w:eastAsia="Arial" w:hAnsiTheme="minorHAnsi" w:cstheme="minorHAnsi"/>
          <w:sz w:val="22"/>
          <w:szCs w:val="22"/>
          <w:lang w:val="pl-PL"/>
        </w:rPr>
      </w:pPr>
    </w:p>
    <w:p w14:paraId="7C54DAD5" w14:textId="56B54F64" w:rsidR="00D55EF1" w:rsidRPr="00907398" w:rsidRDefault="00907398" w:rsidP="00D55EF1">
      <w:pPr>
        <w:pStyle w:val="KeinLeerraum"/>
        <w:rPr>
          <w:rStyle w:val="Hyperlink"/>
          <w:rFonts w:eastAsia="Times New Roman"/>
          <w:kern w:val="0"/>
          <w:sz w:val="22"/>
          <w:szCs w:val="22"/>
          <w:lang w:val="pl-PL" w:eastAsia="zh-CN" w:bidi="ar-SA"/>
        </w:rPr>
      </w:pPr>
      <w:proofErr w:type="spellStart"/>
      <w:r w:rsidRPr="00907398">
        <w:rPr>
          <w:rFonts w:asciiTheme="minorHAnsi" w:hAnsiTheme="minorHAnsi" w:cstheme="minorHAnsi"/>
          <w:sz w:val="22"/>
          <w:szCs w:val="22"/>
          <w:lang w:val="en-US"/>
        </w:rPr>
        <w:t>Seria</w:t>
      </w:r>
      <w:proofErr w:type="spellEnd"/>
      <w:r w:rsidRPr="00907398">
        <w:rPr>
          <w:rFonts w:asciiTheme="minorHAnsi" w:hAnsiTheme="minorHAnsi" w:cstheme="minorHAnsi"/>
          <w:sz w:val="22"/>
          <w:szCs w:val="22"/>
          <w:lang w:val="en-US"/>
        </w:rPr>
        <w:t xml:space="preserve"> TICA® jest </w:t>
      </w:r>
      <w:proofErr w:type="spellStart"/>
      <w:r w:rsidRPr="00907398">
        <w:rPr>
          <w:rFonts w:asciiTheme="minorHAnsi" w:hAnsiTheme="minorHAnsi" w:cstheme="minorHAnsi"/>
          <w:sz w:val="22"/>
          <w:szCs w:val="22"/>
          <w:lang w:val="en-US"/>
        </w:rPr>
        <w:t>już</w:t>
      </w:r>
      <w:proofErr w:type="spellEnd"/>
      <w:r w:rsidRPr="0090739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907398">
        <w:rPr>
          <w:rFonts w:asciiTheme="minorHAnsi" w:hAnsiTheme="minorHAnsi" w:cstheme="minorHAnsi"/>
          <w:sz w:val="22"/>
          <w:szCs w:val="22"/>
          <w:lang w:val="en-US"/>
        </w:rPr>
        <w:t>dostępna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</w:p>
    <w:p w14:paraId="7EBF0CB5" w14:textId="5E5C15DD" w:rsidR="006F74B2" w:rsidRPr="00E43E0D" w:rsidRDefault="006F74B2" w:rsidP="00D55EF1">
      <w:pPr>
        <w:rPr>
          <w:rFonts w:ascii="Calibri" w:hAnsi="Calibri" w:cs="Calibri"/>
          <w:sz w:val="22"/>
          <w:szCs w:val="22"/>
          <w:lang w:val="pl-PL"/>
        </w:rPr>
      </w:pPr>
    </w:p>
    <w:p w14:paraId="02576E8C" w14:textId="77777777" w:rsidR="00B63285" w:rsidRDefault="00761D16">
      <w:pPr>
        <w:pStyle w:val="KeinLeerraum"/>
        <w:rPr>
          <w:rFonts w:ascii="Calibri" w:eastAsia="Times New Roman" w:hAnsi="Calibri" w:cs="Calibri"/>
          <w:kern w:val="0"/>
          <w:sz w:val="22"/>
          <w:szCs w:val="22"/>
          <w:lang w:val="en-GB" w:eastAsia="zh-CN" w:bidi="ar-SA"/>
        </w:rPr>
      </w:pPr>
      <w:proofErr w:type="spellStart"/>
      <w:r>
        <w:rPr>
          <w:rFonts w:ascii="Calibri" w:eastAsia="Times New Roman" w:hAnsi="Calibri" w:cs="Calibri"/>
          <w:kern w:val="0"/>
          <w:sz w:val="22"/>
          <w:szCs w:val="22"/>
          <w:lang w:val="en-GB" w:eastAsia="zh-CN" w:bidi="ar-SA"/>
        </w:rPr>
        <w:t>Dalsze</w:t>
      </w:r>
      <w:proofErr w:type="spellEnd"/>
      <w:r>
        <w:rPr>
          <w:rFonts w:ascii="Calibri" w:eastAsia="Times New Roman" w:hAnsi="Calibri" w:cs="Calibri"/>
          <w:kern w:val="0"/>
          <w:sz w:val="22"/>
          <w:szCs w:val="22"/>
          <w:lang w:val="en-GB" w:eastAsia="zh-CN" w:bidi="ar-SA"/>
        </w:rPr>
        <w:t xml:space="preserve"> </w:t>
      </w:r>
      <w:proofErr w:type="spellStart"/>
      <w:r>
        <w:rPr>
          <w:rFonts w:ascii="Calibri" w:eastAsia="Times New Roman" w:hAnsi="Calibri" w:cs="Calibri"/>
          <w:kern w:val="0"/>
          <w:sz w:val="22"/>
          <w:szCs w:val="22"/>
          <w:lang w:val="en-GB" w:eastAsia="zh-CN" w:bidi="ar-SA"/>
        </w:rPr>
        <w:t>informacje</w:t>
      </w:r>
      <w:proofErr w:type="spellEnd"/>
      <w:r>
        <w:rPr>
          <w:rFonts w:ascii="Calibri" w:eastAsia="Times New Roman" w:hAnsi="Calibri" w:cs="Calibri"/>
          <w:kern w:val="0"/>
          <w:sz w:val="22"/>
          <w:szCs w:val="22"/>
          <w:lang w:val="en-GB" w:eastAsia="zh-CN" w:bidi="ar-SA"/>
        </w:rPr>
        <w:t>:</w:t>
      </w:r>
    </w:p>
    <w:p w14:paraId="71563016" w14:textId="5D9A0E25" w:rsidR="00BC2E7F" w:rsidRPr="00BC2E7F" w:rsidRDefault="00000000" w:rsidP="00BC2E7F">
      <w:pPr>
        <w:pStyle w:val="KeinLeerraum"/>
        <w:rPr>
          <w:rStyle w:val="Hyperlink"/>
          <w:rFonts w:eastAsia="Times New Roman"/>
          <w:kern w:val="0"/>
          <w:lang w:val="pl-PL" w:eastAsia="zh-CN" w:bidi="ar-SA"/>
        </w:rPr>
      </w:pPr>
      <w:hyperlink r:id="rId7" w:history="1">
        <w:r w:rsidR="00BC2E7F" w:rsidRPr="00D55EF1">
          <w:rPr>
            <w:rStyle w:val="Hyperlink"/>
            <w:rFonts w:ascii="Calibri" w:eastAsia="Times New Roman" w:hAnsi="Calibri" w:cs="Calibri"/>
            <w:kern w:val="0"/>
            <w:sz w:val="22"/>
            <w:szCs w:val="22"/>
            <w:lang w:val="pl-PL" w:eastAsia="zh-CN" w:bidi="ar-SA"/>
          </w:rPr>
          <w:t>ld-systems.com/</w:t>
        </w:r>
        <w:r w:rsidR="00D55EF1">
          <w:rPr>
            <w:rStyle w:val="Hyperlink"/>
            <w:rFonts w:ascii="Calibri" w:eastAsia="Times New Roman" w:hAnsi="Calibri" w:cs="Calibri"/>
            <w:kern w:val="0"/>
            <w:sz w:val="22"/>
            <w:szCs w:val="22"/>
            <w:lang w:val="pl-PL" w:eastAsia="zh-CN" w:bidi="ar-SA"/>
          </w:rPr>
          <w:t>Seria-</w:t>
        </w:r>
        <w:proofErr w:type="spellStart"/>
        <w:r w:rsidR="00D55EF1">
          <w:rPr>
            <w:rStyle w:val="Hyperlink"/>
            <w:rFonts w:ascii="Calibri" w:eastAsia="Times New Roman" w:hAnsi="Calibri" w:cs="Calibri"/>
            <w:kern w:val="0"/>
            <w:sz w:val="22"/>
            <w:szCs w:val="22"/>
            <w:lang w:val="pl-PL" w:eastAsia="zh-CN" w:bidi="ar-SA"/>
          </w:rPr>
          <w:t>tica</w:t>
        </w:r>
        <w:proofErr w:type="spellEnd"/>
      </w:hyperlink>
    </w:p>
    <w:p w14:paraId="127FC2DE" w14:textId="77777777" w:rsidR="00BC2E7F" w:rsidRPr="006B53D2" w:rsidRDefault="00000000" w:rsidP="00BC2E7F">
      <w:pPr>
        <w:pStyle w:val="KeinLeerraum"/>
        <w:rPr>
          <w:rStyle w:val="eop"/>
          <w:rFonts w:ascii="Calibri" w:hAnsi="Calibri" w:cs="Calibri"/>
          <w:color w:val="000000"/>
          <w:sz w:val="22"/>
          <w:szCs w:val="22"/>
          <w:shd w:val="clear" w:color="auto" w:fill="FFFFFF"/>
          <w:lang w:val="en-US"/>
        </w:rPr>
      </w:pPr>
      <w:hyperlink r:id="rId8" w:history="1">
        <w:r w:rsidR="00BC2E7F" w:rsidRPr="006B53D2">
          <w:rPr>
            <w:rStyle w:val="Hyperlink"/>
            <w:rFonts w:ascii="Calibri" w:hAnsi="Calibri" w:cs="Calibri"/>
            <w:sz w:val="22"/>
            <w:szCs w:val="22"/>
            <w:shd w:val="clear" w:color="auto" w:fill="FFFFFF"/>
            <w:lang w:val="en-US"/>
          </w:rPr>
          <w:t>adamhall.com</w:t>
        </w:r>
      </w:hyperlink>
      <w:r w:rsidR="00BC2E7F" w:rsidRPr="006B53D2"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  <w:lang w:val="en-US"/>
        </w:rPr>
        <w:t xml:space="preserve"> </w:t>
      </w:r>
    </w:p>
    <w:p w14:paraId="6C97B6CF" w14:textId="77777777" w:rsidR="00EE0C1F" w:rsidRDefault="00EE0C1F" w:rsidP="006D2E7A">
      <w:pPr>
        <w:pStyle w:val="KeinLeerraum"/>
        <w:rPr>
          <w:rStyle w:val="eop"/>
          <w:rFonts w:ascii="Calibri" w:hAnsi="Calibri" w:cs="Calibri"/>
          <w:color w:val="000000"/>
          <w:sz w:val="22"/>
          <w:szCs w:val="22"/>
          <w:shd w:val="clear" w:color="auto" w:fill="FFFFFF"/>
          <w:lang w:val="en-US"/>
        </w:rPr>
      </w:pPr>
    </w:p>
    <w:p w14:paraId="134D122C" w14:textId="699708F9" w:rsidR="00B63285" w:rsidRDefault="00761D16">
      <w:pPr>
        <w:rPr>
          <w:rFonts w:cs="Calibri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GB"/>
        </w:rPr>
        <w:t>#</w:t>
      </w:r>
      <w:r w:rsidR="00D55EF1">
        <w:rPr>
          <w:rFonts w:ascii="Calibri" w:hAnsi="Calibri" w:cs="Calibri"/>
          <w:sz w:val="22"/>
          <w:szCs w:val="22"/>
          <w:lang w:val="en-GB"/>
        </w:rPr>
        <w:t>TICA</w:t>
      </w:r>
      <w:r>
        <w:rPr>
          <w:rFonts w:ascii="Calibri" w:hAnsi="Calibri" w:cs="Calibri"/>
          <w:sz w:val="22"/>
          <w:szCs w:val="22"/>
          <w:lang w:val="en-GB"/>
        </w:rPr>
        <w:t xml:space="preserve"> #LDSystems </w:t>
      </w:r>
      <w:r w:rsidRPr="00EE0C1F">
        <w:rPr>
          <w:rFonts w:ascii="Calibri" w:hAnsi="Calibri" w:cs="Calibri"/>
          <w:sz w:val="22"/>
          <w:szCs w:val="22"/>
          <w:lang w:val="en-GB"/>
        </w:rPr>
        <w:t xml:space="preserve">#AdamHallGroup #AdamHallIntegratedSystems </w:t>
      </w:r>
    </w:p>
    <w:p w14:paraId="0EBED5EA" w14:textId="77777777" w:rsidR="00EE0C1F" w:rsidRPr="00C30965" w:rsidRDefault="00EE0C1F" w:rsidP="006D2E7A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  <w:lang w:val="en-GB"/>
        </w:rPr>
      </w:pPr>
    </w:p>
    <w:p w14:paraId="4A2120C3" w14:textId="77777777" w:rsidR="00780A4D" w:rsidRPr="00C30965" w:rsidRDefault="00780A4D" w:rsidP="004330C6">
      <w:pPr>
        <w:rPr>
          <w:rStyle w:val="Hyperlink"/>
          <w:rFonts w:ascii="Calibri" w:eastAsia="Arial" w:hAnsi="Calibri" w:cs="Calibri"/>
          <w:sz w:val="22"/>
          <w:szCs w:val="22"/>
          <w:lang w:val="en-GB"/>
        </w:rPr>
      </w:pPr>
    </w:p>
    <w:p w14:paraId="73F2BFDD" w14:textId="77777777" w:rsidR="00B63285" w:rsidRPr="00E43E0D" w:rsidRDefault="00761D16">
      <w:pPr>
        <w:pStyle w:val="KeinLeerraum"/>
        <w:rPr>
          <w:rFonts w:ascii="Calibri" w:hAnsi="Calibri"/>
          <w:b/>
          <w:color w:val="808080"/>
          <w:sz w:val="18"/>
          <w:lang w:val="pl-PL"/>
        </w:rPr>
      </w:pPr>
      <w:r w:rsidRPr="00E43E0D">
        <w:rPr>
          <w:rFonts w:ascii="Calibri" w:hAnsi="Calibri"/>
          <w:b/>
          <w:color w:val="808080"/>
          <w:sz w:val="18"/>
          <w:lang w:val="pl-PL"/>
        </w:rPr>
        <w:t>O Grupie Adam Hall</w:t>
      </w:r>
    </w:p>
    <w:p w14:paraId="42B7781F" w14:textId="77777777" w:rsidR="00B63285" w:rsidRPr="00E43E0D" w:rsidRDefault="00761D16">
      <w:pPr>
        <w:pStyle w:val="KeinLeerraum"/>
        <w:rPr>
          <w:rFonts w:ascii="Calibri" w:hAnsi="Calibri"/>
          <w:color w:val="808080"/>
          <w:sz w:val="18"/>
          <w:lang w:val="pl-PL"/>
        </w:rPr>
      </w:pPr>
      <w:r w:rsidRPr="00E43E0D">
        <w:rPr>
          <w:rFonts w:ascii="Calibri" w:hAnsi="Calibri"/>
          <w:color w:val="808080"/>
          <w:sz w:val="18"/>
          <w:lang w:val="pl-PL"/>
        </w:rPr>
        <w:t xml:space="preserve">Adam Hall Group jest wiodącym niemieckim producentem i dystrybutorem oferującym rozwiązania z zakresu technologii </w:t>
      </w:r>
      <w:proofErr w:type="spellStart"/>
      <w:r w:rsidRPr="00E43E0D">
        <w:rPr>
          <w:rFonts w:ascii="Calibri" w:hAnsi="Calibri"/>
          <w:color w:val="808080"/>
          <w:sz w:val="18"/>
          <w:lang w:val="pl-PL"/>
        </w:rPr>
        <w:t>eventowej</w:t>
      </w:r>
      <w:proofErr w:type="spellEnd"/>
      <w:r w:rsidRPr="00E43E0D">
        <w:rPr>
          <w:rFonts w:ascii="Calibri" w:hAnsi="Calibri"/>
          <w:color w:val="808080"/>
          <w:sz w:val="18"/>
          <w:lang w:val="pl-PL"/>
        </w:rPr>
        <w:t xml:space="preserve"> partnerom biznesowym na całym świecie. Grupy docelowe obejmują sprzedawców detalicznych, dealerów B2B, firmy </w:t>
      </w:r>
      <w:proofErr w:type="spellStart"/>
      <w:r w:rsidRPr="00E43E0D">
        <w:rPr>
          <w:rFonts w:ascii="Calibri" w:hAnsi="Calibri"/>
          <w:color w:val="808080"/>
          <w:sz w:val="18"/>
          <w:lang w:val="pl-PL"/>
        </w:rPr>
        <w:t>eventowe</w:t>
      </w:r>
      <w:proofErr w:type="spellEnd"/>
      <w:r w:rsidRPr="00E43E0D">
        <w:rPr>
          <w:rFonts w:ascii="Calibri" w:hAnsi="Calibri"/>
          <w:color w:val="808080"/>
          <w:sz w:val="18"/>
          <w:lang w:val="pl-PL"/>
        </w:rPr>
        <w:t xml:space="preserve"> i </w:t>
      </w:r>
      <w:proofErr w:type="spellStart"/>
      <w:r w:rsidRPr="00E43E0D">
        <w:rPr>
          <w:rFonts w:ascii="Calibri" w:hAnsi="Calibri"/>
          <w:color w:val="808080"/>
          <w:sz w:val="18"/>
          <w:lang w:val="pl-PL"/>
        </w:rPr>
        <w:t>rentalowe</w:t>
      </w:r>
      <w:proofErr w:type="spellEnd"/>
      <w:r w:rsidRPr="00E43E0D">
        <w:rPr>
          <w:rFonts w:ascii="Calibri" w:hAnsi="Calibri"/>
          <w:color w:val="808080"/>
          <w:sz w:val="18"/>
          <w:lang w:val="pl-PL"/>
        </w:rPr>
        <w:t xml:space="preserve">, studia emisyjne, integratorów AV i systemów, firmy prywatne i publiczne oraz producentów przemysłowych </w:t>
      </w:r>
      <w:proofErr w:type="spellStart"/>
      <w:r w:rsidRPr="00E43E0D">
        <w:rPr>
          <w:rFonts w:ascii="Calibri" w:hAnsi="Calibri"/>
          <w:color w:val="808080"/>
          <w:sz w:val="18"/>
          <w:lang w:val="pl-PL"/>
        </w:rPr>
        <w:t>flight</w:t>
      </w:r>
      <w:proofErr w:type="spellEnd"/>
      <w:r w:rsidRPr="00E43E0D">
        <w:rPr>
          <w:rFonts w:ascii="Calibri" w:hAnsi="Calibri"/>
          <w:color w:val="808080"/>
          <w:sz w:val="18"/>
          <w:lang w:val="pl-PL"/>
        </w:rPr>
        <w:t xml:space="preserve"> </w:t>
      </w:r>
      <w:proofErr w:type="spellStart"/>
      <w:r w:rsidRPr="00E43E0D">
        <w:rPr>
          <w:rFonts w:ascii="Calibri" w:hAnsi="Calibri"/>
          <w:color w:val="808080"/>
          <w:sz w:val="18"/>
          <w:lang w:val="pl-PL"/>
        </w:rPr>
        <w:t>case'ów</w:t>
      </w:r>
      <w:proofErr w:type="spellEnd"/>
      <w:r w:rsidRPr="00E43E0D">
        <w:rPr>
          <w:rFonts w:ascii="Calibri" w:hAnsi="Calibri"/>
          <w:color w:val="808080"/>
          <w:sz w:val="18"/>
          <w:lang w:val="pl-PL"/>
        </w:rPr>
        <w:t xml:space="preserve">. Firma oferuje szeroki zakres profesjonalnego sprzętu audio, oświetleniowego, scenicznego </w:t>
      </w:r>
      <w:r w:rsidRPr="00E43E0D">
        <w:rPr>
          <w:rFonts w:ascii="Calibri" w:hAnsi="Calibri"/>
          <w:b/>
          <w:color w:val="808080"/>
          <w:sz w:val="18"/>
          <w:lang w:val="pl-PL"/>
        </w:rPr>
        <w:t xml:space="preserve">oraz </w:t>
      </w:r>
      <w:r w:rsidRPr="00E43E0D">
        <w:rPr>
          <w:rFonts w:ascii="Calibri" w:hAnsi="Calibri"/>
          <w:color w:val="808080"/>
          <w:sz w:val="18"/>
          <w:lang w:val="pl-PL"/>
        </w:rPr>
        <w:t xml:space="preserve">sprzętu typu </w:t>
      </w:r>
      <w:proofErr w:type="spellStart"/>
      <w:r w:rsidRPr="00E43E0D">
        <w:rPr>
          <w:rFonts w:ascii="Calibri" w:hAnsi="Calibri"/>
          <w:color w:val="808080"/>
          <w:sz w:val="18"/>
          <w:lang w:val="pl-PL"/>
        </w:rPr>
        <w:t>flight</w:t>
      </w:r>
      <w:proofErr w:type="spellEnd"/>
      <w:r w:rsidRPr="00E43E0D">
        <w:rPr>
          <w:rFonts w:ascii="Calibri" w:hAnsi="Calibri"/>
          <w:color w:val="808080"/>
          <w:sz w:val="18"/>
          <w:lang w:val="pl-PL"/>
        </w:rPr>
        <w:t xml:space="preserve"> </w:t>
      </w:r>
      <w:proofErr w:type="spellStart"/>
      <w:r w:rsidRPr="00E43E0D">
        <w:rPr>
          <w:rFonts w:ascii="Calibri" w:hAnsi="Calibri"/>
          <w:color w:val="808080"/>
          <w:sz w:val="18"/>
          <w:lang w:val="pl-PL"/>
        </w:rPr>
        <w:t>case</w:t>
      </w:r>
      <w:proofErr w:type="spellEnd"/>
      <w:r w:rsidRPr="00E43E0D">
        <w:rPr>
          <w:rFonts w:ascii="Calibri" w:hAnsi="Calibri"/>
          <w:color w:val="808080"/>
          <w:sz w:val="18"/>
          <w:lang w:val="pl-PL"/>
        </w:rPr>
        <w:t xml:space="preserve"> pod swoimi markami </w:t>
      </w:r>
      <w:r w:rsidRPr="00E43E0D">
        <w:rPr>
          <w:rFonts w:ascii="Calibri" w:hAnsi="Calibri"/>
          <w:b/>
          <w:color w:val="808080"/>
          <w:sz w:val="18"/>
          <w:lang w:val="pl-PL"/>
        </w:rPr>
        <w:t xml:space="preserve">LD Systems®, </w:t>
      </w:r>
      <w:proofErr w:type="spellStart"/>
      <w:r w:rsidRPr="00E43E0D">
        <w:rPr>
          <w:rFonts w:ascii="Calibri" w:hAnsi="Calibri"/>
          <w:b/>
          <w:color w:val="808080"/>
          <w:sz w:val="18"/>
          <w:lang w:val="pl-PL"/>
        </w:rPr>
        <w:t>Cameo</w:t>
      </w:r>
      <w:proofErr w:type="spellEnd"/>
      <w:r w:rsidRPr="00E43E0D">
        <w:rPr>
          <w:rFonts w:ascii="Calibri" w:hAnsi="Calibri"/>
          <w:b/>
          <w:color w:val="808080"/>
          <w:sz w:val="18"/>
          <w:lang w:val="pl-PL"/>
        </w:rPr>
        <w:t xml:space="preserve">®, </w:t>
      </w:r>
      <w:proofErr w:type="spellStart"/>
      <w:r w:rsidRPr="00E43E0D">
        <w:rPr>
          <w:rFonts w:ascii="Calibri" w:hAnsi="Calibri"/>
          <w:b/>
          <w:color w:val="808080"/>
          <w:sz w:val="18"/>
          <w:lang w:val="pl-PL"/>
        </w:rPr>
        <w:t>Gravity</w:t>
      </w:r>
      <w:proofErr w:type="spellEnd"/>
      <w:r w:rsidRPr="00E43E0D">
        <w:rPr>
          <w:rFonts w:ascii="Calibri" w:hAnsi="Calibri"/>
          <w:b/>
          <w:color w:val="808080"/>
          <w:sz w:val="18"/>
          <w:lang w:val="pl-PL"/>
        </w:rPr>
        <w:t>®, Palmer® i Adam Hall®</w:t>
      </w:r>
      <w:r w:rsidRPr="00E43E0D">
        <w:rPr>
          <w:rFonts w:ascii="Calibri" w:hAnsi="Calibri"/>
          <w:color w:val="808080"/>
          <w:sz w:val="18"/>
          <w:lang w:val="pl-PL"/>
        </w:rPr>
        <w:t xml:space="preserve">. Założona w 1975 roku Grupa Adam Hall rozwinęła się w nowoczesną, innowacyjną firmę zajmującą się technologią </w:t>
      </w:r>
      <w:proofErr w:type="spellStart"/>
      <w:r w:rsidRPr="00E43E0D">
        <w:rPr>
          <w:rFonts w:ascii="Calibri" w:hAnsi="Calibri"/>
          <w:color w:val="808080"/>
          <w:sz w:val="18"/>
          <w:lang w:val="pl-PL"/>
        </w:rPr>
        <w:t>eventową</w:t>
      </w:r>
      <w:proofErr w:type="spellEnd"/>
      <w:r w:rsidRPr="00E43E0D">
        <w:rPr>
          <w:rFonts w:ascii="Calibri" w:hAnsi="Calibri"/>
          <w:color w:val="808080"/>
          <w:sz w:val="18"/>
          <w:lang w:val="pl-PL"/>
        </w:rPr>
        <w:t xml:space="preserve">, posiadającą ponad 14 000 m² powierzchni magazynowej w swoim Parku Logistycznym w siedzibie firmy w pobliżu Frankfurtu nad Menem. Dzięki skupieniu się na tworzeniu wartości i usługach, Grupa Adam Hall otrzymała już całą serię międzynarodowych nagród za swoje innowacyjne projekty i przyszłościowe wzornictwo produktów przez renomowane instytucje, takie jak "Red </w:t>
      </w:r>
      <w:proofErr w:type="spellStart"/>
      <w:r w:rsidRPr="00E43E0D">
        <w:rPr>
          <w:rFonts w:ascii="Calibri" w:hAnsi="Calibri"/>
          <w:color w:val="808080"/>
          <w:sz w:val="18"/>
          <w:lang w:val="pl-PL"/>
        </w:rPr>
        <w:t>Dot</w:t>
      </w:r>
      <w:proofErr w:type="spellEnd"/>
      <w:r w:rsidRPr="00E43E0D">
        <w:rPr>
          <w:rFonts w:ascii="Calibri" w:hAnsi="Calibri"/>
          <w:color w:val="808080"/>
          <w:sz w:val="18"/>
          <w:lang w:val="pl-PL"/>
        </w:rPr>
        <w:t xml:space="preserve">", "German Design </w:t>
      </w:r>
      <w:proofErr w:type="spellStart"/>
      <w:r w:rsidRPr="00E43E0D">
        <w:rPr>
          <w:rFonts w:ascii="Calibri" w:hAnsi="Calibri"/>
          <w:color w:val="808080"/>
          <w:sz w:val="18"/>
          <w:lang w:val="pl-PL"/>
        </w:rPr>
        <w:t>Award</w:t>
      </w:r>
      <w:proofErr w:type="spellEnd"/>
      <w:r w:rsidRPr="00E43E0D">
        <w:rPr>
          <w:rFonts w:ascii="Calibri" w:hAnsi="Calibri"/>
          <w:color w:val="808080"/>
          <w:sz w:val="18"/>
          <w:lang w:val="pl-PL"/>
        </w:rPr>
        <w:t>" i "</w:t>
      </w:r>
      <w:proofErr w:type="spellStart"/>
      <w:r w:rsidRPr="00E43E0D">
        <w:rPr>
          <w:rFonts w:ascii="Calibri" w:hAnsi="Calibri"/>
          <w:color w:val="808080"/>
          <w:sz w:val="18"/>
          <w:lang w:val="pl-PL"/>
        </w:rPr>
        <w:t>iF</w:t>
      </w:r>
      <w:proofErr w:type="spellEnd"/>
      <w:r w:rsidRPr="00E43E0D">
        <w:rPr>
          <w:rFonts w:ascii="Calibri" w:hAnsi="Calibri"/>
          <w:color w:val="808080"/>
          <w:sz w:val="18"/>
          <w:lang w:val="pl-PL"/>
        </w:rPr>
        <w:t xml:space="preserve"> Industrie Forum Design". LD Systems®, we współpracy z agencją projektową F. A. Porsche, pokazuje przyszłość wzornictwa pro audio dzięki kultowej kolumnie głośnikowej MAUI® EP900 i w związku z tym została niedawno </w:t>
      </w:r>
      <w:r w:rsidR="00C30965" w:rsidRPr="00E43E0D">
        <w:rPr>
          <w:rFonts w:ascii="Calibri" w:hAnsi="Calibri"/>
          <w:color w:val="808080"/>
          <w:sz w:val="18"/>
          <w:lang w:val="pl-PL"/>
        </w:rPr>
        <w:t xml:space="preserve">uhonorowana </w:t>
      </w:r>
      <w:r w:rsidRPr="00E43E0D">
        <w:rPr>
          <w:rFonts w:ascii="Calibri" w:hAnsi="Calibri"/>
          <w:color w:val="808080"/>
          <w:sz w:val="18"/>
          <w:lang w:val="pl-PL"/>
        </w:rPr>
        <w:t xml:space="preserve">pożądaną nagrodą German Design </w:t>
      </w:r>
      <w:proofErr w:type="spellStart"/>
      <w:r w:rsidRPr="00E43E0D">
        <w:rPr>
          <w:rFonts w:ascii="Calibri" w:hAnsi="Calibri"/>
          <w:color w:val="808080"/>
          <w:sz w:val="18"/>
          <w:lang w:val="pl-PL"/>
        </w:rPr>
        <w:t>Award</w:t>
      </w:r>
      <w:proofErr w:type="spellEnd"/>
      <w:r w:rsidRPr="00E43E0D">
        <w:rPr>
          <w:rFonts w:ascii="Calibri" w:hAnsi="Calibri"/>
          <w:color w:val="808080"/>
          <w:sz w:val="18"/>
          <w:lang w:val="pl-PL"/>
        </w:rPr>
        <w:t xml:space="preserve">. Więcej informacji o Adam Hall Group można znaleźć pod adresem </w:t>
      </w:r>
    </w:p>
    <w:p w14:paraId="13881A67" w14:textId="77777777" w:rsidR="00B63285" w:rsidRPr="00E43E0D" w:rsidRDefault="00000000">
      <w:pPr>
        <w:pStyle w:val="KeinLeerraum"/>
        <w:rPr>
          <w:rFonts w:ascii="Arial" w:hAnsi="Arial"/>
          <w:sz w:val="20"/>
          <w:lang w:val="pl-PL"/>
        </w:rPr>
      </w:pPr>
      <w:hyperlink r:id="rId9" w:history="1">
        <w:r w:rsidR="00196AD4" w:rsidRPr="00E43E0D">
          <w:rPr>
            <w:rStyle w:val="Hyperlink"/>
            <w:rFonts w:ascii="Calibri" w:hAnsi="Calibri"/>
            <w:sz w:val="18"/>
            <w:lang w:val="pl-PL"/>
          </w:rPr>
          <w:t>http://www.adamhall.com/</w:t>
        </w:r>
      </w:hyperlink>
    </w:p>
    <w:sectPr w:rsidR="00B63285" w:rsidRPr="00E43E0D" w:rsidSect="0046543C">
      <w:headerReference w:type="default" r:id="rId10"/>
      <w:footerReference w:type="default" r:id="rId11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EB1AC" w14:textId="77777777" w:rsidR="00061812" w:rsidRDefault="00061812" w:rsidP="004330C6">
      <w:r>
        <w:separator/>
      </w:r>
    </w:p>
  </w:endnote>
  <w:endnote w:type="continuationSeparator" w:id="0">
    <w:p w14:paraId="4A12A465" w14:textId="77777777" w:rsidR="00061812" w:rsidRDefault="00061812" w:rsidP="004330C6">
      <w:r>
        <w:continuationSeparator/>
      </w:r>
    </w:p>
  </w:endnote>
  <w:endnote w:type="continuationNotice" w:id="1">
    <w:p w14:paraId="630E8737" w14:textId="77777777" w:rsidR="00061812" w:rsidRDefault="000618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54C42" w14:textId="77777777" w:rsidR="004330C6" w:rsidRDefault="00061812">
    <w:pPr>
      <w:pStyle w:val="Fuzeile"/>
    </w:pPr>
    <w:r>
      <w:rPr>
        <w:noProof/>
        <w:lang w:val="en-US" w:eastAsia="en-US" w:bidi="ar-SA"/>
      </w:rPr>
      <w:pict w14:anchorId="7929F2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08.55pt;height:31.75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193EC" w14:textId="77777777" w:rsidR="00061812" w:rsidRDefault="00061812" w:rsidP="004330C6">
      <w:r>
        <w:separator/>
      </w:r>
    </w:p>
  </w:footnote>
  <w:footnote w:type="continuationSeparator" w:id="0">
    <w:p w14:paraId="57D57594" w14:textId="77777777" w:rsidR="00061812" w:rsidRDefault="00061812" w:rsidP="004330C6">
      <w:r>
        <w:continuationSeparator/>
      </w:r>
    </w:p>
  </w:footnote>
  <w:footnote w:type="continuationNotice" w:id="1">
    <w:p w14:paraId="030C920B" w14:textId="77777777" w:rsidR="00061812" w:rsidRDefault="000618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9DB0E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  <w:lang w:val="en-US" w:eastAsia="en-US" w:bidi="ar-SA"/>
      </w:rPr>
      <w:drawing>
        <wp:inline distT="0" distB="0" distL="0" distR="0" wp14:anchorId="40BAB2BA" wp14:editId="55675B64">
          <wp:extent cx="1962150" cy="654050"/>
          <wp:effectExtent l="0" t="0" r="0" b="0"/>
          <wp:docPr id="9" name="Grafik 5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65690C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1C1B92"/>
    <w:multiLevelType w:val="hybridMultilevel"/>
    <w:tmpl w:val="7D7A1C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EEC29D7"/>
    <w:multiLevelType w:val="hybridMultilevel"/>
    <w:tmpl w:val="BD0E4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4207837"/>
    <w:multiLevelType w:val="hybridMultilevel"/>
    <w:tmpl w:val="4E628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1200206">
    <w:abstractNumId w:val="1"/>
  </w:num>
  <w:num w:numId="2" w16cid:durableId="1864443679">
    <w:abstractNumId w:val="13"/>
  </w:num>
  <w:num w:numId="3" w16cid:durableId="787043925">
    <w:abstractNumId w:val="8"/>
  </w:num>
  <w:num w:numId="4" w16cid:durableId="379208734">
    <w:abstractNumId w:val="15"/>
  </w:num>
  <w:num w:numId="5" w16cid:durableId="1193687103">
    <w:abstractNumId w:val="5"/>
  </w:num>
  <w:num w:numId="6" w16cid:durableId="609776215">
    <w:abstractNumId w:val="6"/>
  </w:num>
  <w:num w:numId="7" w16cid:durableId="458499263">
    <w:abstractNumId w:val="17"/>
  </w:num>
  <w:num w:numId="8" w16cid:durableId="840697699">
    <w:abstractNumId w:val="7"/>
  </w:num>
  <w:num w:numId="9" w16cid:durableId="2046707760">
    <w:abstractNumId w:val="16"/>
  </w:num>
  <w:num w:numId="10" w16cid:durableId="537930571">
    <w:abstractNumId w:val="4"/>
  </w:num>
  <w:num w:numId="11" w16cid:durableId="949967614">
    <w:abstractNumId w:val="14"/>
  </w:num>
  <w:num w:numId="12" w16cid:durableId="744764065">
    <w:abstractNumId w:val="10"/>
  </w:num>
  <w:num w:numId="13" w16cid:durableId="1610963531">
    <w:abstractNumId w:val="19"/>
  </w:num>
  <w:num w:numId="14" w16cid:durableId="831217148">
    <w:abstractNumId w:val="0"/>
  </w:num>
  <w:num w:numId="15" w16cid:durableId="1569876002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731347320">
    <w:abstractNumId w:val="9"/>
  </w:num>
  <w:num w:numId="17" w16cid:durableId="797644674">
    <w:abstractNumId w:val="2"/>
  </w:num>
  <w:num w:numId="18" w16cid:durableId="1173297785">
    <w:abstractNumId w:val="3"/>
  </w:num>
  <w:num w:numId="19" w16cid:durableId="816259312">
    <w:abstractNumId w:val="11"/>
  </w:num>
  <w:num w:numId="20" w16cid:durableId="164497089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164E"/>
    <w:rsid w:val="00004222"/>
    <w:rsid w:val="000064B6"/>
    <w:rsid w:val="00010D62"/>
    <w:rsid w:val="00012478"/>
    <w:rsid w:val="0001272F"/>
    <w:rsid w:val="000160A0"/>
    <w:rsid w:val="00016A96"/>
    <w:rsid w:val="0002119C"/>
    <w:rsid w:val="00026508"/>
    <w:rsid w:val="000310C8"/>
    <w:rsid w:val="00031E80"/>
    <w:rsid w:val="000352E0"/>
    <w:rsid w:val="0003571C"/>
    <w:rsid w:val="00035C36"/>
    <w:rsid w:val="00042524"/>
    <w:rsid w:val="00042DFF"/>
    <w:rsid w:val="00044C1C"/>
    <w:rsid w:val="00045E45"/>
    <w:rsid w:val="00051033"/>
    <w:rsid w:val="00061812"/>
    <w:rsid w:val="000619FA"/>
    <w:rsid w:val="000735B8"/>
    <w:rsid w:val="00077969"/>
    <w:rsid w:val="000818EA"/>
    <w:rsid w:val="00086C2C"/>
    <w:rsid w:val="000907D7"/>
    <w:rsid w:val="00092CF3"/>
    <w:rsid w:val="00092E57"/>
    <w:rsid w:val="00093AB0"/>
    <w:rsid w:val="00094AE6"/>
    <w:rsid w:val="00095D99"/>
    <w:rsid w:val="00095EFB"/>
    <w:rsid w:val="000A5344"/>
    <w:rsid w:val="000A6A9C"/>
    <w:rsid w:val="000B3327"/>
    <w:rsid w:val="000B4089"/>
    <w:rsid w:val="000B6BF3"/>
    <w:rsid w:val="000C22DA"/>
    <w:rsid w:val="000C2D39"/>
    <w:rsid w:val="000C5BAB"/>
    <w:rsid w:val="000C62FD"/>
    <w:rsid w:val="000C6A86"/>
    <w:rsid w:val="000D0538"/>
    <w:rsid w:val="000D4AD6"/>
    <w:rsid w:val="000D614A"/>
    <w:rsid w:val="000D7E1E"/>
    <w:rsid w:val="000E3EBF"/>
    <w:rsid w:val="000F72DB"/>
    <w:rsid w:val="00103F7F"/>
    <w:rsid w:val="001043B2"/>
    <w:rsid w:val="001059E3"/>
    <w:rsid w:val="001076B6"/>
    <w:rsid w:val="00111329"/>
    <w:rsid w:val="001147DE"/>
    <w:rsid w:val="00117B88"/>
    <w:rsid w:val="00124407"/>
    <w:rsid w:val="00124F49"/>
    <w:rsid w:val="00125C3D"/>
    <w:rsid w:val="0012712A"/>
    <w:rsid w:val="001306F0"/>
    <w:rsid w:val="00130CC1"/>
    <w:rsid w:val="00132D6B"/>
    <w:rsid w:val="00134EF8"/>
    <w:rsid w:val="00135BAE"/>
    <w:rsid w:val="001452D7"/>
    <w:rsid w:val="00145E8F"/>
    <w:rsid w:val="00150BAA"/>
    <w:rsid w:val="001543F7"/>
    <w:rsid w:val="00164685"/>
    <w:rsid w:val="00164BA4"/>
    <w:rsid w:val="00165ABD"/>
    <w:rsid w:val="001704A6"/>
    <w:rsid w:val="00170CCF"/>
    <w:rsid w:val="00175DBD"/>
    <w:rsid w:val="0018014A"/>
    <w:rsid w:val="00184D8B"/>
    <w:rsid w:val="001856FE"/>
    <w:rsid w:val="001905C4"/>
    <w:rsid w:val="00190662"/>
    <w:rsid w:val="00196AD4"/>
    <w:rsid w:val="00197BE9"/>
    <w:rsid w:val="001A1584"/>
    <w:rsid w:val="001B0461"/>
    <w:rsid w:val="001B40F4"/>
    <w:rsid w:val="001B7E2C"/>
    <w:rsid w:val="001C5825"/>
    <w:rsid w:val="001C5D7F"/>
    <w:rsid w:val="001D2FE6"/>
    <w:rsid w:val="001D32F9"/>
    <w:rsid w:val="001D3566"/>
    <w:rsid w:val="001D4057"/>
    <w:rsid w:val="001D6F99"/>
    <w:rsid w:val="001E51CC"/>
    <w:rsid w:val="001E5871"/>
    <w:rsid w:val="001F0E84"/>
    <w:rsid w:val="0020235E"/>
    <w:rsid w:val="002034DB"/>
    <w:rsid w:val="00203ED6"/>
    <w:rsid w:val="0020590C"/>
    <w:rsid w:val="002065E7"/>
    <w:rsid w:val="00207525"/>
    <w:rsid w:val="00215123"/>
    <w:rsid w:val="002171CF"/>
    <w:rsid w:val="002176EA"/>
    <w:rsid w:val="0022782B"/>
    <w:rsid w:val="002357CC"/>
    <w:rsid w:val="00236B68"/>
    <w:rsid w:val="00237E4A"/>
    <w:rsid w:val="00243B58"/>
    <w:rsid w:val="002446D3"/>
    <w:rsid w:val="0024709A"/>
    <w:rsid w:val="00247B14"/>
    <w:rsid w:val="00247EDB"/>
    <w:rsid w:val="00250DB1"/>
    <w:rsid w:val="00253E5A"/>
    <w:rsid w:val="00257113"/>
    <w:rsid w:val="00257859"/>
    <w:rsid w:val="00262160"/>
    <w:rsid w:val="0026474A"/>
    <w:rsid w:val="00272775"/>
    <w:rsid w:val="0027394B"/>
    <w:rsid w:val="00283958"/>
    <w:rsid w:val="00285810"/>
    <w:rsid w:val="002902EE"/>
    <w:rsid w:val="002956B9"/>
    <w:rsid w:val="002960C5"/>
    <w:rsid w:val="00296C60"/>
    <w:rsid w:val="002A71BC"/>
    <w:rsid w:val="002B2157"/>
    <w:rsid w:val="002B49DF"/>
    <w:rsid w:val="002B520A"/>
    <w:rsid w:val="002C32D6"/>
    <w:rsid w:val="002C69B9"/>
    <w:rsid w:val="002D3572"/>
    <w:rsid w:val="002D3E93"/>
    <w:rsid w:val="002D3FAB"/>
    <w:rsid w:val="002D4A1E"/>
    <w:rsid w:val="002D6DDF"/>
    <w:rsid w:val="002F04B0"/>
    <w:rsid w:val="002F0DFC"/>
    <w:rsid w:val="002F16FD"/>
    <w:rsid w:val="002F20E1"/>
    <w:rsid w:val="003021E3"/>
    <w:rsid w:val="00302508"/>
    <w:rsid w:val="00311FA5"/>
    <w:rsid w:val="00317208"/>
    <w:rsid w:val="003206D4"/>
    <w:rsid w:val="003314F4"/>
    <w:rsid w:val="00340CFE"/>
    <w:rsid w:val="003453B8"/>
    <w:rsid w:val="003458A7"/>
    <w:rsid w:val="003520A7"/>
    <w:rsid w:val="00362474"/>
    <w:rsid w:val="0037057F"/>
    <w:rsid w:val="003716B9"/>
    <w:rsid w:val="0037330B"/>
    <w:rsid w:val="00373AFF"/>
    <w:rsid w:val="0037421A"/>
    <w:rsid w:val="003817D3"/>
    <w:rsid w:val="003834DC"/>
    <w:rsid w:val="00385711"/>
    <w:rsid w:val="003864D6"/>
    <w:rsid w:val="00387F10"/>
    <w:rsid w:val="003904A7"/>
    <w:rsid w:val="00391FEB"/>
    <w:rsid w:val="003920A4"/>
    <w:rsid w:val="003B0B21"/>
    <w:rsid w:val="003B6792"/>
    <w:rsid w:val="003C0D95"/>
    <w:rsid w:val="003C3F56"/>
    <w:rsid w:val="003C553A"/>
    <w:rsid w:val="003C7650"/>
    <w:rsid w:val="003C7942"/>
    <w:rsid w:val="003D141E"/>
    <w:rsid w:val="003D4F1D"/>
    <w:rsid w:val="003E4B2D"/>
    <w:rsid w:val="003E5409"/>
    <w:rsid w:val="003F01A4"/>
    <w:rsid w:val="003F6959"/>
    <w:rsid w:val="004037C1"/>
    <w:rsid w:val="00411C01"/>
    <w:rsid w:val="00416379"/>
    <w:rsid w:val="0042095F"/>
    <w:rsid w:val="00422766"/>
    <w:rsid w:val="00423841"/>
    <w:rsid w:val="00432C94"/>
    <w:rsid w:val="004330C6"/>
    <w:rsid w:val="004348FA"/>
    <w:rsid w:val="0043733D"/>
    <w:rsid w:val="00445DF3"/>
    <w:rsid w:val="00456821"/>
    <w:rsid w:val="004624FD"/>
    <w:rsid w:val="0046458E"/>
    <w:rsid w:val="0046543C"/>
    <w:rsid w:val="0047049C"/>
    <w:rsid w:val="00471643"/>
    <w:rsid w:val="004771A7"/>
    <w:rsid w:val="004816E2"/>
    <w:rsid w:val="00481747"/>
    <w:rsid w:val="0048198D"/>
    <w:rsid w:val="0048445A"/>
    <w:rsid w:val="004852CA"/>
    <w:rsid w:val="00485602"/>
    <w:rsid w:val="004858F2"/>
    <w:rsid w:val="004968EC"/>
    <w:rsid w:val="004A007B"/>
    <w:rsid w:val="004A2550"/>
    <w:rsid w:val="004A2942"/>
    <w:rsid w:val="004A5166"/>
    <w:rsid w:val="004A5441"/>
    <w:rsid w:val="004A7890"/>
    <w:rsid w:val="004B615D"/>
    <w:rsid w:val="004C0829"/>
    <w:rsid w:val="004C7F1D"/>
    <w:rsid w:val="004D27A1"/>
    <w:rsid w:val="004D3E95"/>
    <w:rsid w:val="004D54E9"/>
    <w:rsid w:val="004D7807"/>
    <w:rsid w:val="004D7B1F"/>
    <w:rsid w:val="004E26BD"/>
    <w:rsid w:val="004E5A85"/>
    <w:rsid w:val="004F1032"/>
    <w:rsid w:val="004F5412"/>
    <w:rsid w:val="004F77F7"/>
    <w:rsid w:val="00507E4C"/>
    <w:rsid w:val="00507EC4"/>
    <w:rsid w:val="005121C5"/>
    <w:rsid w:val="00512376"/>
    <w:rsid w:val="00512A72"/>
    <w:rsid w:val="00516951"/>
    <w:rsid w:val="005208EC"/>
    <w:rsid w:val="00523241"/>
    <w:rsid w:val="005237B0"/>
    <w:rsid w:val="00536C32"/>
    <w:rsid w:val="0053710D"/>
    <w:rsid w:val="00540E4A"/>
    <w:rsid w:val="00546AE6"/>
    <w:rsid w:val="00550116"/>
    <w:rsid w:val="005501E2"/>
    <w:rsid w:val="005513C5"/>
    <w:rsid w:val="0056153C"/>
    <w:rsid w:val="00561A7F"/>
    <w:rsid w:val="00566FD5"/>
    <w:rsid w:val="00570AEC"/>
    <w:rsid w:val="0057282E"/>
    <w:rsid w:val="005744F5"/>
    <w:rsid w:val="00576210"/>
    <w:rsid w:val="0057690B"/>
    <w:rsid w:val="00581477"/>
    <w:rsid w:val="00583025"/>
    <w:rsid w:val="005947D3"/>
    <w:rsid w:val="005A50AF"/>
    <w:rsid w:val="005A58BA"/>
    <w:rsid w:val="005A6EBA"/>
    <w:rsid w:val="005B49DD"/>
    <w:rsid w:val="005B692A"/>
    <w:rsid w:val="005B6D92"/>
    <w:rsid w:val="005B7BB6"/>
    <w:rsid w:val="005C128F"/>
    <w:rsid w:val="005C2591"/>
    <w:rsid w:val="005C3632"/>
    <w:rsid w:val="005C3648"/>
    <w:rsid w:val="005C4A93"/>
    <w:rsid w:val="005D45A1"/>
    <w:rsid w:val="005E40AF"/>
    <w:rsid w:val="005F2899"/>
    <w:rsid w:val="005F3FF6"/>
    <w:rsid w:val="00600743"/>
    <w:rsid w:val="00603FD4"/>
    <w:rsid w:val="00610CDC"/>
    <w:rsid w:val="00611B9B"/>
    <w:rsid w:val="00613BA5"/>
    <w:rsid w:val="00617F32"/>
    <w:rsid w:val="0063132F"/>
    <w:rsid w:val="00633CC0"/>
    <w:rsid w:val="00634ACF"/>
    <w:rsid w:val="0063742F"/>
    <w:rsid w:val="00640BCD"/>
    <w:rsid w:val="00645AA1"/>
    <w:rsid w:val="00652A61"/>
    <w:rsid w:val="0065492E"/>
    <w:rsid w:val="006650B9"/>
    <w:rsid w:val="00674E8B"/>
    <w:rsid w:val="006811A8"/>
    <w:rsid w:val="00683F82"/>
    <w:rsid w:val="00691110"/>
    <w:rsid w:val="006947A6"/>
    <w:rsid w:val="00694890"/>
    <w:rsid w:val="006968FA"/>
    <w:rsid w:val="006A2793"/>
    <w:rsid w:val="006A4552"/>
    <w:rsid w:val="006C2799"/>
    <w:rsid w:val="006C45CF"/>
    <w:rsid w:val="006C575A"/>
    <w:rsid w:val="006D2E7A"/>
    <w:rsid w:val="006E0D25"/>
    <w:rsid w:val="006E2CFE"/>
    <w:rsid w:val="006E3192"/>
    <w:rsid w:val="006E651F"/>
    <w:rsid w:val="006E6906"/>
    <w:rsid w:val="006E767C"/>
    <w:rsid w:val="006E7A7C"/>
    <w:rsid w:val="006F124D"/>
    <w:rsid w:val="006F74B2"/>
    <w:rsid w:val="006F7A48"/>
    <w:rsid w:val="007009A4"/>
    <w:rsid w:val="00700CFB"/>
    <w:rsid w:val="00704A45"/>
    <w:rsid w:val="00705D37"/>
    <w:rsid w:val="007153F5"/>
    <w:rsid w:val="007207D2"/>
    <w:rsid w:val="00721C7D"/>
    <w:rsid w:val="0072231E"/>
    <w:rsid w:val="00723BDD"/>
    <w:rsid w:val="00733337"/>
    <w:rsid w:val="00734C80"/>
    <w:rsid w:val="00735620"/>
    <w:rsid w:val="00740110"/>
    <w:rsid w:val="00745291"/>
    <w:rsid w:val="00753F8C"/>
    <w:rsid w:val="00761D16"/>
    <w:rsid w:val="0077345C"/>
    <w:rsid w:val="00773470"/>
    <w:rsid w:val="00774BE6"/>
    <w:rsid w:val="00775BF5"/>
    <w:rsid w:val="007766A1"/>
    <w:rsid w:val="00780A4D"/>
    <w:rsid w:val="00782AF6"/>
    <w:rsid w:val="00786582"/>
    <w:rsid w:val="00786871"/>
    <w:rsid w:val="00787AEB"/>
    <w:rsid w:val="00790E63"/>
    <w:rsid w:val="007934C8"/>
    <w:rsid w:val="00794BD0"/>
    <w:rsid w:val="007B588C"/>
    <w:rsid w:val="007B6AB4"/>
    <w:rsid w:val="007B788E"/>
    <w:rsid w:val="007C398C"/>
    <w:rsid w:val="007C51E2"/>
    <w:rsid w:val="007C6526"/>
    <w:rsid w:val="007C7643"/>
    <w:rsid w:val="007D2567"/>
    <w:rsid w:val="007D29E1"/>
    <w:rsid w:val="007D57AD"/>
    <w:rsid w:val="007D7F23"/>
    <w:rsid w:val="007E04F9"/>
    <w:rsid w:val="007E4B69"/>
    <w:rsid w:val="007E5B4C"/>
    <w:rsid w:val="007F70F6"/>
    <w:rsid w:val="007F7D01"/>
    <w:rsid w:val="008015C5"/>
    <w:rsid w:val="00801D20"/>
    <w:rsid w:val="00806772"/>
    <w:rsid w:val="0081225F"/>
    <w:rsid w:val="008209B3"/>
    <w:rsid w:val="00821AA6"/>
    <w:rsid w:val="00823E59"/>
    <w:rsid w:val="00827FBE"/>
    <w:rsid w:val="00840293"/>
    <w:rsid w:val="00843B74"/>
    <w:rsid w:val="008474CD"/>
    <w:rsid w:val="00847B0B"/>
    <w:rsid w:val="00847D7A"/>
    <w:rsid w:val="00860075"/>
    <w:rsid w:val="008609AD"/>
    <w:rsid w:val="008635C3"/>
    <w:rsid w:val="008709DD"/>
    <w:rsid w:val="00872F41"/>
    <w:rsid w:val="00881E5E"/>
    <w:rsid w:val="00890A32"/>
    <w:rsid w:val="0089577F"/>
    <w:rsid w:val="00895C63"/>
    <w:rsid w:val="00896BAF"/>
    <w:rsid w:val="008A0CC1"/>
    <w:rsid w:val="008B6F16"/>
    <w:rsid w:val="008C5A92"/>
    <w:rsid w:val="008D22AA"/>
    <w:rsid w:val="008D5D01"/>
    <w:rsid w:val="008E0434"/>
    <w:rsid w:val="008E12E9"/>
    <w:rsid w:val="008E327B"/>
    <w:rsid w:val="008F12AC"/>
    <w:rsid w:val="008F219B"/>
    <w:rsid w:val="008F2D79"/>
    <w:rsid w:val="008F3AD1"/>
    <w:rsid w:val="008F5992"/>
    <w:rsid w:val="009028FD"/>
    <w:rsid w:val="00904362"/>
    <w:rsid w:val="00905794"/>
    <w:rsid w:val="00906B21"/>
    <w:rsid w:val="00907398"/>
    <w:rsid w:val="00912302"/>
    <w:rsid w:val="00913A6C"/>
    <w:rsid w:val="0091412C"/>
    <w:rsid w:val="00915E45"/>
    <w:rsid w:val="00916F1C"/>
    <w:rsid w:val="00917E76"/>
    <w:rsid w:val="00920BFE"/>
    <w:rsid w:val="00925018"/>
    <w:rsid w:val="00925A60"/>
    <w:rsid w:val="009270B5"/>
    <w:rsid w:val="0092757C"/>
    <w:rsid w:val="00933D02"/>
    <w:rsid w:val="00934DAB"/>
    <w:rsid w:val="00936209"/>
    <w:rsid w:val="00936488"/>
    <w:rsid w:val="009423C2"/>
    <w:rsid w:val="0094475D"/>
    <w:rsid w:val="00947239"/>
    <w:rsid w:val="0095102E"/>
    <w:rsid w:val="0095148D"/>
    <w:rsid w:val="00954CF6"/>
    <w:rsid w:val="009643EB"/>
    <w:rsid w:val="0097368B"/>
    <w:rsid w:val="009778CC"/>
    <w:rsid w:val="009878B2"/>
    <w:rsid w:val="009912B1"/>
    <w:rsid w:val="009A008F"/>
    <w:rsid w:val="009A0DFE"/>
    <w:rsid w:val="009A11CD"/>
    <w:rsid w:val="009A514D"/>
    <w:rsid w:val="009B1FC9"/>
    <w:rsid w:val="009B3E34"/>
    <w:rsid w:val="009B56F9"/>
    <w:rsid w:val="009B5EF9"/>
    <w:rsid w:val="009C2121"/>
    <w:rsid w:val="009C592C"/>
    <w:rsid w:val="009E223F"/>
    <w:rsid w:val="009E41F8"/>
    <w:rsid w:val="009E4AE9"/>
    <w:rsid w:val="009E7449"/>
    <w:rsid w:val="009F0FB4"/>
    <w:rsid w:val="009F2F9D"/>
    <w:rsid w:val="009F5E6C"/>
    <w:rsid w:val="00A05A55"/>
    <w:rsid w:val="00A062C9"/>
    <w:rsid w:val="00A07BAF"/>
    <w:rsid w:val="00A17E32"/>
    <w:rsid w:val="00A26128"/>
    <w:rsid w:val="00A26BDE"/>
    <w:rsid w:val="00A301BC"/>
    <w:rsid w:val="00A547F0"/>
    <w:rsid w:val="00A55D48"/>
    <w:rsid w:val="00A57A45"/>
    <w:rsid w:val="00A60861"/>
    <w:rsid w:val="00A62120"/>
    <w:rsid w:val="00A65CF8"/>
    <w:rsid w:val="00A71B6D"/>
    <w:rsid w:val="00A738EB"/>
    <w:rsid w:val="00A836AE"/>
    <w:rsid w:val="00A90641"/>
    <w:rsid w:val="00A92174"/>
    <w:rsid w:val="00A947D9"/>
    <w:rsid w:val="00A94C22"/>
    <w:rsid w:val="00AA639F"/>
    <w:rsid w:val="00AB080D"/>
    <w:rsid w:val="00AB157B"/>
    <w:rsid w:val="00AB3D5F"/>
    <w:rsid w:val="00AC2C7D"/>
    <w:rsid w:val="00AC2F05"/>
    <w:rsid w:val="00AC6A98"/>
    <w:rsid w:val="00AD1162"/>
    <w:rsid w:val="00AD27D1"/>
    <w:rsid w:val="00AD56FA"/>
    <w:rsid w:val="00AE0BCA"/>
    <w:rsid w:val="00AE6344"/>
    <w:rsid w:val="00AE709C"/>
    <w:rsid w:val="00AE70E8"/>
    <w:rsid w:val="00AF582B"/>
    <w:rsid w:val="00AF5B54"/>
    <w:rsid w:val="00AF613A"/>
    <w:rsid w:val="00AF722F"/>
    <w:rsid w:val="00AF73BA"/>
    <w:rsid w:val="00B0077B"/>
    <w:rsid w:val="00B16D19"/>
    <w:rsid w:val="00B27339"/>
    <w:rsid w:val="00B33379"/>
    <w:rsid w:val="00B42DDB"/>
    <w:rsid w:val="00B43B48"/>
    <w:rsid w:val="00B44024"/>
    <w:rsid w:val="00B44CF7"/>
    <w:rsid w:val="00B60EBC"/>
    <w:rsid w:val="00B63285"/>
    <w:rsid w:val="00B65C34"/>
    <w:rsid w:val="00B712D5"/>
    <w:rsid w:val="00B74DAC"/>
    <w:rsid w:val="00B76096"/>
    <w:rsid w:val="00B800A7"/>
    <w:rsid w:val="00B86400"/>
    <w:rsid w:val="00B93723"/>
    <w:rsid w:val="00B943F0"/>
    <w:rsid w:val="00B948C9"/>
    <w:rsid w:val="00B96A50"/>
    <w:rsid w:val="00B97BCE"/>
    <w:rsid w:val="00BA750F"/>
    <w:rsid w:val="00BA761B"/>
    <w:rsid w:val="00BA78D7"/>
    <w:rsid w:val="00BB56CB"/>
    <w:rsid w:val="00BC2C84"/>
    <w:rsid w:val="00BC2E7F"/>
    <w:rsid w:val="00BC3124"/>
    <w:rsid w:val="00BC61CF"/>
    <w:rsid w:val="00BD18F0"/>
    <w:rsid w:val="00BD3AB6"/>
    <w:rsid w:val="00BE2054"/>
    <w:rsid w:val="00BE57BF"/>
    <w:rsid w:val="00BF34F3"/>
    <w:rsid w:val="00C028A4"/>
    <w:rsid w:val="00C153B7"/>
    <w:rsid w:val="00C1680C"/>
    <w:rsid w:val="00C176BD"/>
    <w:rsid w:val="00C20116"/>
    <w:rsid w:val="00C21152"/>
    <w:rsid w:val="00C30965"/>
    <w:rsid w:val="00C3264A"/>
    <w:rsid w:val="00C32875"/>
    <w:rsid w:val="00C34D6F"/>
    <w:rsid w:val="00C3535E"/>
    <w:rsid w:val="00C432CE"/>
    <w:rsid w:val="00C459DE"/>
    <w:rsid w:val="00C4741B"/>
    <w:rsid w:val="00C4796C"/>
    <w:rsid w:val="00C47DE7"/>
    <w:rsid w:val="00C66F10"/>
    <w:rsid w:val="00C72500"/>
    <w:rsid w:val="00C75511"/>
    <w:rsid w:val="00C77231"/>
    <w:rsid w:val="00C81029"/>
    <w:rsid w:val="00C81614"/>
    <w:rsid w:val="00C8239F"/>
    <w:rsid w:val="00C85C87"/>
    <w:rsid w:val="00C86618"/>
    <w:rsid w:val="00C87450"/>
    <w:rsid w:val="00C87824"/>
    <w:rsid w:val="00C87C39"/>
    <w:rsid w:val="00C904BA"/>
    <w:rsid w:val="00C91629"/>
    <w:rsid w:val="00CA04B3"/>
    <w:rsid w:val="00CB3E46"/>
    <w:rsid w:val="00CB5540"/>
    <w:rsid w:val="00CC4FA9"/>
    <w:rsid w:val="00CD52E2"/>
    <w:rsid w:val="00CD7F15"/>
    <w:rsid w:val="00CD7F18"/>
    <w:rsid w:val="00CE3114"/>
    <w:rsid w:val="00CE3EEE"/>
    <w:rsid w:val="00CE5003"/>
    <w:rsid w:val="00CE5AD3"/>
    <w:rsid w:val="00CE6613"/>
    <w:rsid w:val="00CE7CD7"/>
    <w:rsid w:val="00CF3FAB"/>
    <w:rsid w:val="00D00355"/>
    <w:rsid w:val="00D02301"/>
    <w:rsid w:val="00D06D71"/>
    <w:rsid w:val="00D12B39"/>
    <w:rsid w:val="00D13962"/>
    <w:rsid w:val="00D14CCA"/>
    <w:rsid w:val="00D1525D"/>
    <w:rsid w:val="00D178AD"/>
    <w:rsid w:val="00D20244"/>
    <w:rsid w:val="00D26601"/>
    <w:rsid w:val="00D273A5"/>
    <w:rsid w:val="00D3148F"/>
    <w:rsid w:val="00D36541"/>
    <w:rsid w:val="00D37E7B"/>
    <w:rsid w:val="00D4210C"/>
    <w:rsid w:val="00D454AC"/>
    <w:rsid w:val="00D45AF7"/>
    <w:rsid w:val="00D52D14"/>
    <w:rsid w:val="00D53C40"/>
    <w:rsid w:val="00D55EF1"/>
    <w:rsid w:val="00D60CED"/>
    <w:rsid w:val="00D63A24"/>
    <w:rsid w:val="00D66E92"/>
    <w:rsid w:val="00D73519"/>
    <w:rsid w:val="00D7514C"/>
    <w:rsid w:val="00D80EE3"/>
    <w:rsid w:val="00D832B8"/>
    <w:rsid w:val="00D832F5"/>
    <w:rsid w:val="00D87DE6"/>
    <w:rsid w:val="00D910C8"/>
    <w:rsid w:val="00D915C1"/>
    <w:rsid w:val="00D91A27"/>
    <w:rsid w:val="00DA2287"/>
    <w:rsid w:val="00DA3C9E"/>
    <w:rsid w:val="00DA4BCD"/>
    <w:rsid w:val="00DA756D"/>
    <w:rsid w:val="00DB37E7"/>
    <w:rsid w:val="00DB7EC4"/>
    <w:rsid w:val="00DC1B36"/>
    <w:rsid w:val="00DC46A8"/>
    <w:rsid w:val="00DC5177"/>
    <w:rsid w:val="00DD0C9B"/>
    <w:rsid w:val="00DE01C7"/>
    <w:rsid w:val="00DE22EF"/>
    <w:rsid w:val="00DE295B"/>
    <w:rsid w:val="00DE2FD9"/>
    <w:rsid w:val="00DE5608"/>
    <w:rsid w:val="00DE5CC5"/>
    <w:rsid w:val="00DE7198"/>
    <w:rsid w:val="00DF09E5"/>
    <w:rsid w:val="00DF2352"/>
    <w:rsid w:val="00DF2B5D"/>
    <w:rsid w:val="00DF7668"/>
    <w:rsid w:val="00E06A56"/>
    <w:rsid w:val="00E0724D"/>
    <w:rsid w:val="00E1081B"/>
    <w:rsid w:val="00E1626C"/>
    <w:rsid w:val="00E24D88"/>
    <w:rsid w:val="00E43E0D"/>
    <w:rsid w:val="00E4607C"/>
    <w:rsid w:val="00E52B7E"/>
    <w:rsid w:val="00E56BB9"/>
    <w:rsid w:val="00E65A03"/>
    <w:rsid w:val="00E671B0"/>
    <w:rsid w:val="00E673AC"/>
    <w:rsid w:val="00E72BA6"/>
    <w:rsid w:val="00E7620D"/>
    <w:rsid w:val="00E86932"/>
    <w:rsid w:val="00E94C2E"/>
    <w:rsid w:val="00E9699A"/>
    <w:rsid w:val="00EA107B"/>
    <w:rsid w:val="00EA1913"/>
    <w:rsid w:val="00EA7531"/>
    <w:rsid w:val="00EB3E07"/>
    <w:rsid w:val="00EB4FE9"/>
    <w:rsid w:val="00EC3A62"/>
    <w:rsid w:val="00EC597D"/>
    <w:rsid w:val="00ED3A2C"/>
    <w:rsid w:val="00ED6698"/>
    <w:rsid w:val="00EE0C1F"/>
    <w:rsid w:val="00EE0F8A"/>
    <w:rsid w:val="00EE15F3"/>
    <w:rsid w:val="00EE2DA3"/>
    <w:rsid w:val="00EF38D9"/>
    <w:rsid w:val="00EF41C8"/>
    <w:rsid w:val="00EF50B7"/>
    <w:rsid w:val="00EF7DA1"/>
    <w:rsid w:val="00F008E9"/>
    <w:rsid w:val="00F00F40"/>
    <w:rsid w:val="00F00FB1"/>
    <w:rsid w:val="00F04390"/>
    <w:rsid w:val="00F10AE8"/>
    <w:rsid w:val="00F1313D"/>
    <w:rsid w:val="00F14855"/>
    <w:rsid w:val="00F2197E"/>
    <w:rsid w:val="00F21E77"/>
    <w:rsid w:val="00F27082"/>
    <w:rsid w:val="00F27B25"/>
    <w:rsid w:val="00F40FC9"/>
    <w:rsid w:val="00F4178D"/>
    <w:rsid w:val="00F46090"/>
    <w:rsid w:val="00F57E82"/>
    <w:rsid w:val="00F62431"/>
    <w:rsid w:val="00F66890"/>
    <w:rsid w:val="00F74B86"/>
    <w:rsid w:val="00F76F5B"/>
    <w:rsid w:val="00F80043"/>
    <w:rsid w:val="00F839E5"/>
    <w:rsid w:val="00F85366"/>
    <w:rsid w:val="00F93E4F"/>
    <w:rsid w:val="00F94690"/>
    <w:rsid w:val="00F95DFD"/>
    <w:rsid w:val="00FA0750"/>
    <w:rsid w:val="00FA0EA2"/>
    <w:rsid w:val="00FA21A8"/>
    <w:rsid w:val="00FA5790"/>
    <w:rsid w:val="00FB1125"/>
    <w:rsid w:val="00FB5E22"/>
    <w:rsid w:val="00FB62F6"/>
    <w:rsid w:val="00FB796E"/>
    <w:rsid w:val="00FC2346"/>
    <w:rsid w:val="00FC505E"/>
    <w:rsid w:val="00FC51BC"/>
    <w:rsid w:val="00FD63AF"/>
    <w:rsid w:val="00FE5893"/>
    <w:rsid w:val="00FE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81AF1B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F70F6"/>
    <w:rPr>
      <w:rFonts w:ascii="Times New Roman" w:eastAsia="Times New Roman" w:hAnsi="Times New Roman" w:cs="Times New Roman"/>
      <w:lang w:eastAsia="zh-CN" w:bidi="ar-SA"/>
    </w:rPr>
  </w:style>
  <w:style w:type="paragraph" w:styleId="berschrift1">
    <w:name w:val="heading 1"/>
    <w:basedOn w:val="Standard"/>
    <w:link w:val="berschrift1Zchn"/>
    <w:uiPriority w:val="9"/>
    <w:qFormat/>
    <w:rsid w:val="002F2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  <w:lang w:eastAsia="de-DE" w:bidi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  <w:lang w:eastAsia="de-DE" w:bidi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  <w:rPr>
      <w:lang w:eastAsia="de-DE" w:bidi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F20E1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paragraph" w:styleId="StandardWeb">
    <w:name w:val="Normal (Web)"/>
    <w:basedOn w:val="Standard"/>
    <w:uiPriority w:val="99"/>
    <w:semiHidden/>
    <w:unhideWhenUsed/>
    <w:rsid w:val="002F20E1"/>
    <w:pPr>
      <w:spacing w:before="100" w:beforeAutospacing="1" w:after="100" w:afterAutospacing="1"/>
    </w:pPr>
    <w:rPr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0E1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936209"/>
  </w:style>
  <w:style w:type="character" w:customStyle="1" w:styleId="ex-contact-boxcontainer-location-hall">
    <w:name w:val="ex-contact-box__container-location-hall"/>
    <w:basedOn w:val="Absatz-Standardschriftart"/>
    <w:rsid w:val="001059E3"/>
  </w:style>
  <w:style w:type="character" w:customStyle="1" w:styleId="ex-contact-boxcontainer-location-stand">
    <w:name w:val="ex-contact-box__container-location-stand"/>
    <w:basedOn w:val="Absatz-Standardschriftart"/>
    <w:rsid w:val="001059E3"/>
  </w:style>
  <w:style w:type="character" w:styleId="Hervorhebung">
    <w:name w:val="Emphasis"/>
    <w:basedOn w:val="Absatz-Standardschriftart"/>
    <w:uiPriority w:val="20"/>
    <w:qFormat/>
    <w:rsid w:val="007B588C"/>
    <w:rPr>
      <w:i/>
      <w:iCs/>
    </w:rPr>
  </w:style>
  <w:style w:type="paragraph" w:customStyle="1" w:styleId="paragraph">
    <w:name w:val="paragraph"/>
    <w:basedOn w:val="Standard"/>
    <w:rsid w:val="006F74B2"/>
    <w:pPr>
      <w:spacing w:before="100" w:beforeAutospacing="1" w:after="100" w:afterAutospacing="1"/>
    </w:pPr>
    <w:rPr>
      <w:lang w:val="en-GB" w:eastAsia="en-GB"/>
    </w:rPr>
  </w:style>
  <w:style w:type="character" w:customStyle="1" w:styleId="eop">
    <w:name w:val="eop"/>
    <w:basedOn w:val="Absatz-Standardschriftart"/>
    <w:rsid w:val="006F7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amhall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ld-systems.com/pl/Seria/Seria-TICA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amhall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701</Words>
  <Characters>4417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keywords>docId:B532EA8A045C133DEF4AF7623E93E797</cp:keywords>
  <cp:lastModifiedBy>Elisa Posteraro</cp:lastModifiedBy>
  <cp:revision>4</cp:revision>
  <cp:lastPrinted>2019-01-10T17:28:00Z</cp:lastPrinted>
  <dcterms:created xsi:type="dcterms:W3CDTF">2023-10-31T12:13:00Z</dcterms:created>
  <dcterms:modified xsi:type="dcterms:W3CDTF">2023-10-31T14:21:00Z</dcterms:modified>
</cp:coreProperties>
</file>