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3BAE3" w14:textId="2234EED8" w:rsidR="004330C6" w:rsidRPr="00281A49" w:rsidRDefault="004330C6" w:rsidP="003817D3">
      <w:pPr>
        <w:rPr>
          <w:rFonts w:ascii="Arial" w:hAnsi="Arial"/>
          <w:b/>
          <w:color w:val="000000" w:themeColor="text1"/>
          <w:sz w:val="28"/>
          <w:bdr w:val="none" w:sz="0" w:space="0" w:color="auto" w:frame="1"/>
          <w:lang w:val="fr-FR"/>
        </w:rPr>
      </w:pPr>
      <w:r w:rsidRPr="00281A49">
        <w:rPr>
          <w:rFonts w:ascii="Calibri" w:hAnsi="Calibri"/>
          <w:sz w:val="52"/>
          <w:lang w:val="fr-FR"/>
        </w:rPr>
        <w:t>Communiqué de presse</w:t>
      </w:r>
    </w:p>
    <w:p w14:paraId="230558DA" w14:textId="61A55546" w:rsidR="004330C6" w:rsidRPr="00281A49" w:rsidRDefault="004330C6" w:rsidP="003817D3">
      <w:pPr>
        <w:rPr>
          <w:rFonts w:ascii="Arial" w:hAnsi="Arial"/>
          <w:b/>
          <w:color w:val="000000" w:themeColor="text1"/>
          <w:sz w:val="28"/>
          <w:bdr w:val="none" w:sz="0" w:space="0" w:color="auto" w:frame="1"/>
          <w:lang w:val="fr-FR"/>
        </w:rPr>
      </w:pPr>
    </w:p>
    <w:p w14:paraId="1F2E7A7D" w14:textId="77777777" w:rsidR="004330C6" w:rsidRPr="00281A49" w:rsidRDefault="004330C6" w:rsidP="003817D3">
      <w:pPr>
        <w:rPr>
          <w:rFonts w:ascii="Arial" w:hAnsi="Arial"/>
          <w:b/>
          <w:color w:val="000000" w:themeColor="text1"/>
          <w:sz w:val="28"/>
          <w:bdr w:val="none" w:sz="0" w:space="0" w:color="auto" w:frame="1"/>
          <w:lang w:val="fr-FR"/>
        </w:rPr>
      </w:pPr>
    </w:p>
    <w:p w14:paraId="6C9C0CCE" w14:textId="089FB192" w:rsidR="00B351CA" w:rsidRPr="00281A49" w:rsidRDefault="00B351CA" w:rsidP="00B351CA">
      <w:pPr>
        <w:pStyle w:val="StandardWeb"/>
        <w:spacing w:before="0" w:beforeAutospacing="0" w:after="0" w:afterAutospacing="0"/>
        <w:rPr>
          <w:rFonts w:ascii="Calibri" w:hAnsi="Calibri" w:cs="Calibri"/>
          <w:lang w:val="fr-FR"/>
        </w:rPr>
      </w:pPr>
      <w:r w:rsidRPr="00281A49">
        <w:rPr>
          <w:rFonts w:ascii="Calibri" w:hAnsi="Calibri" w:cs="Calibri"/>
          <w:b/>
          <w:bCs/>
          <w:sz w:val="44"/>
          <w:szCs w:val="44"/>
          <w:lang w:val="fr-FR"/>
        </w:rPr>
        <w:t>German Design Award</w:t>
      </w:r>
      <w:r w:rsidRPr="00281A49">
        <w:rPr>
          <w:rFonts w:ascii="Calibri" w:hAnsi="Calibri" w:cs="Calibri"/>
          <w:sz w:val="44"/>
          <w:szCs w:val="44"/>
          <w:lang w:val="fr-FR"/>
        </w:rPr>
        <w:t> </w:t>
      </w:r>
      <w:r w:rsidRPr="00281A49">
        <w:rPr>
          <w:rFonts w:ascii="Calibri" w:hAnsi="Calibri" w:cs="Calibri"/>
          <w:b/>
          <w:bCs/>
          <w:sz w:val="44"/>
          <w:szCs w:val="44"/>
          <w:lang w:val="fr-FR"/>
        </w:rPr>
        <w:t>2022 et Iconic Awards</w:t>
      </w:r>
      <w:r w:rsidRPr="00281A49">
        <w:rPr>
          <w:rFonts w:ascii="Calibri" w:hAnsi="Calibri" w:cs="Calibri"/>
          <w:sz w:val="44"/>
          <w:szCs w:val="44"/>
          <w:lang w:val="fr-FR"/>
        </w:rPr>
        <w:t> </w:t>
      </w:r>
      <w:r w:rsidRPr="00281A49">
        <w:rPr>
          <w:rFonts w:ascii="Calibri" w:hAnsi="Calibri" w:cs="Calibri"/>
          <w:b/>
          <w:bCs/>
          <w:sz w:val="44"/>
          <w:szCs w:val="44"/>
          <w:lang w:val="fr-FR"/>
        </w:rPr>
        <w:t>2022 pour la série H1 Cameo</w:t>
      </w:r>
    </w:p>
    <w:p w14:paraId="39A42FA6" w14:textId="77777777" w:rsidR="00B351CA" w:rsidRPr="00281A49" w:rsidRDefault="00B351CA" w:rsidP="00B351CA">
      <w:pPr>
        <w:pStyle w:val="StandardWeb"/>
        <w:spacing w:before="0" w:beforeAutospacing="0" w:after="0" w:afterAutospacing="0"/>
        <w:rPr>
          <w:rFonts w:ascii="Calibri" w:hAnsi="Calibri" w:cs="Calibri"/>
          <w:lang w:val="fr-FR"/>
        </w:rPr>
      </w:pPr>
    </w:p>
    <w:p w14:paraId="6AC4D409" w14:textId="7FF6FA42" w:rsidR="00B351CA" w:rsidRPr="00281A49" w:rsidRDefault="00B351CA" w:rsidP="000410F7">
      <w:pPr>
        <w:pStyle w:val="StandardWeb"/>
        <w:spacing w:before="0" w:beforeAutospacing="0" w:after="0" w:afterAutospacing="0"/>
        <w:jc w:val="both"/>
        <w:rPr>
          <w:rFonts w:ascii="Calibri" w:hAnsi="Calibri" w:cs="Calibri"/>
          <w:lang w:val="fr-FR"/>
        </w:rPr>
      </w:pPr>
      <w:r w:rsidRPr="00281A49">
        <w:rPr>
          <w:rFonts w:ascii="Calibri" w:hAnsi="Calibri" w:cs="Calibri"/>
          <w:b/>
          <w:bCs/>
          <w:sz w:val="22"/>
          <w:szCs w:val="22"/>
          <w:lang w:val="fr-FR"/>
        </w:rPr>
        <w:t xml:space="preserve">Neu-Anspach, Allemagne, le </w:t>
      </w:r>
      <w:r w:rsidR="005C59EA">
        <w:rPr>
          <w:rFonts w:ascii="Calibri" w:hAnsi="Calibri" w:cs="Calibri"/>
          <w:b/>
          <w:bCs/>
          <w:sz w:val="22"/>
          <w:szCs w:val="22"/>
          <w:lang w:val="fr-FR"/>
        </w:rPr>
        <w:t>01 mars</w:t>
      </w:r>
      <w:bookmarkStart w:id="0" w:name="_GoBack"/>
      <w:bookmarkEnd w:id="0"/>
      <w:r w:rsidRPr="00281A49">
        <w:rPr>
          <w:rFonts w:ascii="Calibri" w:hAnsi="Calibri" w:cs="Calibri"/>
          <w:b/>
          <w:bCs/>
          <w:sz w:val="22"/>
          <w:szCs w:val="22"/>
          <w:lang w:val="fr-FR"/>
        </w:rPr>
        <w:t xml:space="preserve"> 2022</w:t>
      </w:r>
      <w:r w:rsidRPr="00281A49">
        <w:rPr>
          <w:rFonts w:ascii="Calibri" w:hAnsi="Calibri" w:cs="Calibri"/>
          <w:sz w:val="22"/>
          <w:szCs w:val="22"/>
          <w:lang w:val="fr-FR"/>
        </w:rPr>
        <w:t> </w:t>
      </w:r>
      <w:r w:rsidRPr="00281A49">
        <w:rPr>
          <w:rFonts w:ascii="Calibri" w:hAnsi="Calibri" w:cs="Calibri"/>
          <w:b/>
          <w:bCs/>
          <w:sz w:val="22"/>
          <w:szCs w:val="22"/>
          <w:lang w:val="fr-FR"/>
        </w:rPr>
        <w:t>– Le Conseil allemand du design et son jury international sont subjugués et décernent deux prix pour la série Cameo H1 d’Adam Hall Group</w:t>
      </w:r>
      <w:r w:rsidRPr="00281A49">
        <w:rPr>
          <w:rFonts w:ascii="Calibri" w:hAnsi="Calibri" w:cs="Calibri"/>
          <w:sz w:val="22"/>
          <w:szCs w:val="22"/>
          <w:lang w:val="fr-FR"/>
        </w:rPr>
        <w:t> </w:t>
      </w:r>
      <w:r w:rsidRPr="00281A49">
        <w:rPr>
          <w:rFonts w:ascii="Calibri" w:hAnsi="Calibri" w:cs="Calibri"/>
          <w:b/>
          <w:bCs/>
          <w:sz w:val="22"/>
          <w:szCs w:val="22"/>
          <w:lang w:val="fr-FR"/>
        </w:rPr>
        <w:t>: le célèbre German Design Award</w:t>
      </w:r>
      <w:r w:rsidRPr="00281A49">
        <w:rPr>
          <w:rFonts w:ascii="Calibri" w:hAnsi="Calibri" w:cs="Calibri"/>
          <w:sz w:val="22"/>
          <w:szCs w:val="22"/>
          <w:lang w:val="fr-FR"/>
        </w:rPr>
        <w:t> </w:t>
      </w:r>
      <w:r w:rsidRPr="00281A49">
        <w:rPr>
          <w:rFonts w:ascii="Calibri" w:hAnsi="Calibri" w:cs="Calibri"/>
          <w:b/>
          <w:bCs/>
          <w:sz w:val="22"/>
          <w:szCs w:val="22"/>
          <w:lang w:val="fr-FR"/>
        </w:rPr>
        <w:t>2022 et le prix Iconic Awards</w:t>
      </w:r>
      <w:r w:rsidRPr="00281A49">
        <w:rPr>
          <w:rFonts w:ascii="Calibri" w:hAnsi="Calibri" w:cs="Calibri"/>
          <w:sz w:val="22"/>
          <w:szCs w:val="22"/>
          <w:lang w:val="fr-FR"/>
        </w:rPr>
        <w:t> </w:t>
      </w:r>
      <w:r w:rsidRPr="00281A49">
        <w:rPr>
          <w:rFonts w:ascii="Calibri" w:hAnsi="Calibri" w:cs="Calibri"/>
          <w:b/>
          <w:bCs/>
          <w:sz w:val="22"/>
          <w:szCs w:val="22"/>
          <w:lang w:val="fr-FR"/>
        </w:rPr>
        <w:t xml:space="preserve">2022. Ces projecteurs d’installation LED avec pilotage DMX et gradation continue de Cameo comptent ainsi parmi les meilleures solutions de design au monde. </w:t>
      </w:r>
    </w:p>
    <w:p w14:paraId="1C074A38" w14:textId="77777777" w:rsidR="00B351CA" w:rsidRPr="00281A49" w:rsidRDefault="00B351CA" w:rsidP="000410F7">
      <w:pPr>
        <w:pStyle w:val="StandardWeb"/>
        <w:spacing w:before="0" w:beforeAutospacing="0" w:after="0" w:afterAutospacing="0"/>
        <w:jc w:val="both"/>
        <w:rPr>
          <w:rFonts w:ascii="Calibri" w:hAnsi="Calibri" w:cs="Calibri"/>
          <w:lang w:val="fr-FR"/>
        </w:rPr>
      </w:pPr>
    </w:p>
    <w:p w14:paraId="5EB6FE04" w14:textId="2C35E329" w:rsidR="00B351CA" w:rsidRPr="00281A49" w:rsidRDefault="00B351CA" w:rsidP="000410F7">
      <w:pPr>
        <w:pStyle w:val="StandardWeb"/>
        <w:spacing w:before="0" w:beforeAutospacing="0" w:after="0" w:afterAutospacing="0"/>
        <w:jc w:val="both"/>
        <w:rPr>
          <w:rFonts w:ascii="Calibri" w:hAnsi="Calibri" w:cs="Calibri"/>
          <w:lang w:val="fr-FR"/>
        </w:rPr>
      </w:pPr>
      <w:r w:rsidRPr="00281A49">
        <w:rPr>
          <w:rFonts w:ascii="Calibri" w:hAnsi="Calibri" w:cs="Calibri"/>
          <w:sz w:val="22"/>
          <w:szCs w:val="22"/>
          <w:lang w:val="fr-FR"/>
        </w:rPr>
        <w:t>Le German Design Award est le prix le plus important décerné par le Conseil allemand du design et l’un des prix</w:t>
      </w:r>
      <w:r w:rsidR="000410F7">
        <w:rPr>
          <w:rFonts w:ascii="Calibri" w:hAnsi="Calibri" w:cs="Calibri"/>
          <w:sz w:val="22"/>
          <w:szCs w:val="22"/>
          <w:lang w:val="fr-FR"/>
        </w:rPr>
        <w:t xml:space="preserve"> </w:t>
      </w:r>
      <w:r w:rsidRPr="00281A49">
        <w:rPr>
          <w:rFonts w:ascii="Calibri" w:hAnsi="Calibri" w:cs="Calibri"/>
          <w:sz w:val="22"/>
          <w:szCs w:val="22"/>
          <w:lang w:val="fr-FR"/>
        </w:rPr>
        <w:t xml:space="preserve">internationaux de design les plus reconnus au monde. Avec ce prix très convoité, le Conseil allemand du design récompense les œuvres d’avant-garde en matière de forme et de design. Le jury ne tarit pas d’éloges sur la série H1 Cameo : Les élégants « Cameo H1 House Lights » se distinguent par un design compact et épuré, sont configurables de manière polyvalente et s’intègrent ainsi parfaitement aux concepts d’intérieurs les plus exigeants. </w:t>
      </w:r>
    </w:p>
    <w:p w14:paraId="2D3BB7B8" w14:textId="77777777" w:rsidR="00B351CA" w:rsidRPr="00281A49" w:rsidRDefault="00B351CA" w:rsidP="000410F7">
      <w:pPr>
        <w:pStyle w:val="StandardWeb"/>
        <w:spacing w:before="0" w:beforeAutospacing="0" w:after="0" w:afterAutospacing="0"/>
        <w:jc w:val="both"/>
        <w:rPr>
          <w:rFonts w:ascii="Calibri" w:hAnsi="Calibri" w:cs="Calibri"/>
          <w:lang w:val="fr-FR"/>
        </w:rPr>
      </w:pPr>
    </w:p>
    <w:p w14:paraId="6703E6A2" w14:textId="61C96AD4" w:rsidR="00B351CA" w:rsidRPr="00281A49" w:rsidRDefault="00B351CA" w:rsidP="000410F7">
      <w:pPr>
        <w:pStyle w:val="StandardWeb"/>
        <w:spacing w:before="0" w:beforeAutospacing="0" w:after="0" w:afterAutospacing="0"/>
        <w:jc w:val="both"/>
        <w:rPr>
          <w:rFonts w:ascii="Calibri" w:hAnsi="Calibri" w:cs="Calibri"/>
          <w:lang w:val="fr-FR"/>
        </w:rPr>
      </w:pPr>
      <w:r w:rsidRPr="00281A49">
        <w:rPr>
          <w:rFonts w:ascii="Calibri" w:hAnsi="Calibri" w:cs="Calibri"/>
          <w:sz w:val="22"/>
          <w:szCs w:val="22"/>
          <w:lang w:val="fr-FR"/>
        </w:rPr>
        <w:t>Les Iconic Awards sont considérés comme le baromètre des tendances dans le secteur de la décoration et des évolutions en matière de design d’intérieur. Les prix prestigieux décernés par le Conseil allemand du design récompensent les principales innovations internationales en matière de design. Ici aussi, la série H1 Cameo a séduit le jury.</w:t>
      </w:r>
    </w:p>
    <w:p w14:paraId="1BB3B80F" w14:textId="77777777" w:rsidR="00B351CA" w:rsidRPr="00281A49" w:rsidRDefault="00B351CA" w:rsidP="000410F7">
      <w:pPr>
        <w:pStyle w:val="StandardWeb"/>
        <w:spacing w:before="0" w:beforeAutospacing="0" w:after="0" w:afterAutospacing="0"/>
        <w:jc w:val="both"/>
        <w:rPr>
          <w:rFonts w:ascii="Calibri" w:hAnsi="Calibri" w:cs="Calibri"/>
          <w:lang w:val="fr-FR"/>
        </w:rPr>
      </w:pPr>
    </w:p>
    <w:p w14:paraId="08B1081E" w14:textId="77777777" w:rsidR="0076180F" w:rsidRPr="00281A49" w:rsidRDefault="00B351CA" w:rsidP="000410F7">
      <w:pPr>
        <w:pStyle w:val="StandardWeb"/>
        <w:spacing w:before="0" w:beforeAutospacing="0" w:after="0" w:afterAutospacing="0"/>
        <w:jc w:val="both"/>
        <w:rPr>
          <w:rFonts w:ascii="Calibri" w:hAnsi="Calibri" w:cs="Calibri"/>
          <w:color w:val="000000" w:themeColor="text1"/>
          <w:sz w:val="22"/>
          <w:szCs w:val="22"/>
          <w:lang w:val="fr-FR"/>
        </w:rPr>
      </w:pPr>
      <w:r w:rsidRPr="00281A49">
        <w:rPr>
          <w:rFonts w:ascii="Calibri" w:hAnsi="Calibri" w:cs="Calibri"/>
          <w:color w:val="000000" w:themeColor="text1"/>
          <w:sz w:val="22"/>
          <w:szCs w:val="22"/>
          <w:lang w:val="fr-FR"/>
        </w:rPr>
        <w:t xml:space="preserve">Avec ces nouvelles distinctions, Adam Hall Group, dont le siège social se trouve à Neu-Anspach en Allemagne, se voit confirmer la reconnaissance de son intention de développer des solutions techniques pour l’événementiel innovantes et de haute qualité, tant sur le plan technique que stylistique, au plus près des exigences du client. </w:t>
      </w:r>
    </w:p>
    <w:p w14:paraId="7EBB835E" w14:textId="6DC0698E" w:rsidR="0076180F" w:rsidRPr="00281A49" w:rsidRDefault="0076180F" w:rsidP="000410F7">
      <w:pPr>
        <w:pStyle w:val="StandardWeb"/>
        <w:spacing w:before="0" w:beforeAutospacing="0" w:after="0" w:afterAutospacing="0"/>
        <w:jc w:val="both"/>
        <w:rPr>
          <w:rFonts w:ascii="Calibri" w:hAnsi="Calibri" w:cs="Calibri"/>
          <w:color w:val="000000" w:themeColor="text1"/>
          <w:sz w:val="22"/>
          <w:szCs w:val="22"/>
          <w:lang w:val="fr-FR"/>
        </w:rPr>
      </w:pPr>
    </w:p>
    <w:p w14:paraId="08CF07B0" w14:textId="1CA64278" w:rsidR="00F00499" w:rsidRPr="00281A49" w:rsidRDefault="0076180F" w:rsidP="000410F7">
      <w:pPr>
        <w:jc w:val="both"/>
        <w:rPr>
          <w:rFonts w:ascii="Calibri" w:hAnsi="Calibri" w:cs="Calibri"/>
          <w:color w:val="000000" w:themeColor="text1"/>
          <w:sz w:val="22"/>
          <w:szCs w:val="22"/>
          <w:lang w:val="fr-FR"/>
        </w:rPr>
      </w:pPr>
      <w:r w:rsidRPr="00281A49">
        <w:rPr>
          <w:rFonts w:ascii="Calibri" w:hAnsi="Calibri" w:cs="Calibri"/>
          <w:color w:val="000000" w:themeColor="text1"/>
          <w:sz w:val="22"/>
          <w:szCs w:val="22"/>
          <w:lang w:val="fr-FR"/>
        </w:rPr>
        <w:t xml:space="preserve">« Les prix décernés pour la série H1 sont la preuve que nos solutions d’éclairage architectural sont résolument dans l’air du temps », explique Daniel Wrase, Product Manager Light Technology chez Adam Hall Group. « La planification architecturale moderne impose des exigences élevées en matière de technologie et de design. Nous sommes fiers de pouvoir offrir à nos clients des secteurs de l’éclairage architectural, de la construction de stands sur les salons, de </w:t>
      </w:r>
      <w:r w:rsidRPr="00281A49">
        <w:rPr>
          <w:rFonts w:ascii="Calibri" w:hAnsi="Calibri" w:cs="Calibri"/>
          <w:color w:val="000000" w:themeColor="text1"/>
          <w:sz w:val="22"/>
          <w:szCs w:val="22"/>
          <w:shd w:val="clear" w:color="auto" w:fill="FFFFFF"/>
          <w:lang w:val="fr-FR"/>
        </w:rPr>
        <w:t>l’hôtellerie et bien plus encore la qualité éprouvée du H2 sous une forme encore plus compacte. »</w:t>
      </w:r>
    </w:p>
    <w:p w14:paraId="25D2F6B4" w14:textId="77777777" w:rsidR="0076180F" w:rsidRPr="00281A49" w:rsidRDefault="0076180F" w:rsidP="000410F7">
      <w:pPr>
        <w:pStyle w:val="StandardWeb"/>
        <w:spacing w:before="0" w:beforeAutospacing="0" w:after="0" w:afterAutospacing="0"/>
        <w:jc w:val="both"/>
        <w:rPr>
          <w:rFonts w:ascii="Calibri" w:hAnsi="Calibri" w:cs="Calibri"/>
          <w:color w:val="000000" w:themeColor="text1"/>
          <w:sz w:val="22"/>
          <w:szCs w:val="22"/>
          <w:lang w:val="fr-FR"/>
        </w:rPr>
      </w:pPr>
    </w:p>
    <w:p w14:paraId="25501668" w14:textId="5F59BC3E" w:rsidR="00B351CA" w:rsidRPr="00281A49" w:rsidRDefault="00B351CA" w:rsidP="000410F7">
      <w:pPr>
        <w:pStyle w:val="StandardWeb"/>
        <w:spacing w:before="0" w:beforeAutospacing="0" w:after="0" w:afterAutospacing="0"/>
        <w:jc w:val="both"/>
        <w:rPr>
          <w:rFonts w:ascii="Calibri" w:hAnsi="Calibri" w:cs="Calibri"/>
          <w:lang w:val="fr-FR"/>
        </w:rPr>
      </w:pPr>
      <w:r w:rsidRPr="00281A49">
        <w:rPr>
          <w:rFonts w:ascii="Calibri" w:hAnsi="Calibri" w:cs="Calibri"/>
          <w:color w:val="000000" w:themeColor="text1"/>
          <w:sz w:val="22"/>
          <w:szCs w:val="22"/>
          <w:lang w:val="fr-FR"/>
        </w:rPr>
        <w:t>« Toute l’équipe d’Adam Hall Group est très fière de faire partie une fois de plus des lauréats du prix du design 2022 – et ce pour deux produits à la fois ! »</w:t>
      </w:r>
      <w:r w:rsidRPr="00281A49">
        <w:rPr>
          <w:rFonts w:ascii="Calibri" w:hAnsi="Calibri" w:cs="Calibri"/>
          <w:color w:val="000000"/>
          <w:sz w:val="22"/>
          <w:szCs w:val="22"/>
          <w:lang w:val="fr-FR"/>
        </w:rPr>
        <w:t>, ajoute Alexander Pietschmann, directeur général d’Adam Hall Group. La reconnaissance de nos efforts par le jury nous confère une certaine assurance pour continuer à l’avenir de sortir des sentiers battus et de jouer un rôle précurseur comme fabricant de technique pour l’événementiel. »</w:t>
      </w:r>
    </w:p>
    <w:p w14:paraId="0C784D54" w14:textId="77777777" w:rsidR="00B351CA" w:rsidRPr="00281A49" w:rsidRDefault="00B351CA" w:rsidP="000410F7">
      <w:pPr>
        <w:pStyle w:val="StandardWeb"/>
        <w:spacing w:before="0" w:beforeAutospacing="0" w:after="0" w:afterAutospacing="0"/>
        <w:jc w:val="both"/>
        <w:rPr>
          <w:rFonts w:ascii="Calibri" w:hAnsi="Calibri" w:cs="Calibri"/>
          <w:lang w:val="fr-FR"/>
        </w:rPr>
      </w:pPr>
    </w:p>
    <w:p w14:paraId="31099D89" w14:textId="77777777" w:rsidR="005A71E6" w:rsidRPr="00281A49" w:rsidRDefault="005A71E6" w:rsidP="000410F7">
      <w:pPr>
        <w:pStyle w:val="StandardWeb"/>
        <w:spacing w:before="0" w:beforeAutospacing="0" w:after="0" w:afterAutospacing="0"/>
        <w:jc w:val="both"/>
        <w:rPr>
          <w:rFonts w:ascii="Calibri" w:hAnsi="Calibri" w:cs="Calibri"/>
          <w:b/>
          <w:bCs/>
          <w:color w:val="000000"/>
          <w:sz w:val="22"/>
          <w:szCs w:val="22"/>
          <w:lang w:val="fr-FR"/>
        </w:rPr>
      </w:pPr>
    </w:p>
    <w:p w14:paraId="4565BAD6" w14:textId="14342F5C" w:rsidR="00B351CA" w:rsidRPr="00281A49" w:rsidRDefault="00B351CA" w:rsidP="000410F7">
      <w:pPr>
        <w:pStyle w:val="StandardWeb"/>
        <w:spacing w:before="0" w:beforeAutospacing="0" w:after="0" w:afterAutospacing="0"/>
        <w:jc w:val="both"/>
        <w:rPr>
          <w:rFonts w:ascii="Calibri" w:hAnsi="Calibri" w:cs="Calibri"/>
          <w:lang w:val="fr-FR"/>
        </w:rPr>
      </w:pPr>
      <w:r w:rsidRPr="00281A49">
        <w:rPr>
          <w:rFonts w:ascii="Calibri" w:hAnsi="Calibri" w:cs="Calibri"/>
          <w:b/>
          <w:bCs/>
          <w:color w:val="000000"/>
          <w:sz w:val="22"/>
          <w:szCs w:val="22"/>
          <w:lang w:val="fr-FR"/>
        </w:rPr>
        <w:lastRenderedPageBreak/>
        <w:t>Un design affirmé pour des domaines d’application variés</w:t>
      </w:r>
    </w:p>
    <w:p w14:paraId="6ABD9076" w14:textId="509CAF08" w:rsidR="00B351CA" w:rsidRPr="00281A49" w:rsidRDefault="00B351CA" w:rsidP="000410F7">
      <w:pPr>
        <w:pStyle w:val="StandardWeb"/>
        <w:spacing w:before="0" w:beforeAutospacing="0" w:after="0" w:afterAutospacing="0"/>
        <w:jc w:val="both"/>
        <w:rPr>
          <w:rFonts w:ascii="Calibri" w:hAnsi="Calibri" w:cs="Calibri"/>
          <w:sz w:val="22"/>
          <w:szCs w:val="22"/>
          <w:lang w:val="fr-FR"/>
        </w:rPr>
      </w:pPr>
      <w:r w:rsidRPr="00281A49">
        <w:rPr>
          <w:rFonts w:ascii="Calibri" w:hAnsi="Calibri" w:cs="Calibri"/>
          <w:color w:val="000000"/>
          <w:sz w:val="22"/>
          <w:szCs w:val="22"/>
          <w:lang w:val="fr-FR"/>
        </w:rPr>
        <w:t xml:space="preserve">Les éclairages architecturaux de la série H1 Cameo, dotés d’un boîtier blanc ou noir mat, </w:t>
      </w:r>
      <w:r w:rsidRPr="00281A49">
        <w:rPr>
          <w:rFonts w:ascii="Calibri" w:hAnsi="Calibri" w:cs="Calibri"/>
          <w:sz w:val="22"/>
          <w:szCs w:val="22"/>
          <w:lang w:val="fr-FR"/>
        </w:rPr>
        <w:t xml:space="preserve">possèdent un langage conceptuel </w:t>
      </w:r>
      <w:r w:rsidRPr="00281A49">
        <w:rPr>
          <w:rFonts w:ascii="Calibri" w:hAnsi="Calibri" w:cs="Calibri"/>
          <w:color w:val="000000"/>
          <w:sz w:val="22"/>
          <w:szCs w:val="22"/>
          <w:lang w:val="fr-FR"/>
        </w:rPr>
        <w:t xml:space="preserve">caractéristique et offrent aux architectes d’intérieur, aux concepteurs, aux designers d’éclairages et aux exploitants de salles de spectacle une combinaison bien pensée leur permettant d’allier fonctionnalité, fiabilité, performance et aspect haut de gamme dans leur travail quotidien. Fixe et facile à utiliser, la série LED Cameo H1 répond aux exigences particulières de chaque pièce en matière d’ambiance, d’éclairage d’ambiance et de luminosité, que ce soit dans les restaurants, les cinémas, les théâtres, les salles de spectacle, les musées ou les halls d’exposition. </w:t>
      </w:r>
    </w:p>
    <w:p w14:paraId="055BEE37" w14:textId="77777777" w:rsidR="00B351CA" w:rsidRPr="00281A49" w:rsidRDefault="00B351CA" w:rsidP="000410F7">
      <w:pPr>
        <w:pStyle w:val="StandardWeb"/>
        <w:spacing w:before="0" w:beforeAutospacing="0" w:after="0" w:afterAutospacing="0"/>
        <w:jc w:val="both"/>
        <w:rPr>
          <w:rFonts w:ascii="Calibri" w:hAnsi="Calibri" w:cs="Calibri"/>
          <w:sz w:val="22"/>
          <w:szCs w:val="22"/>
          <w:lang w:val="fr-FR"/>
        </w:rPr>
      </w:pPr>
    </w:p>
    <w:p w14:paraId="32CE644F" w14:textId="3FD2060B" w:rsidR="00B351CA" w:rsidRPr="00281A49" w:rsidRDefault="00B351CA" w:rsidP="000410F7">
      <w:pPr>
        <w:pStyle w:val="StandardWeb"/>
        <w:spacing w:before="0" w:beforeAutospacing="0" w:after="0" w:afterAutospacing="0"/>
        <w:jc w:val="both"/>
        <w:rPr>
          <w:rFonts w:ascii="Calibri" w:hAnsi="Calibri" w:cs="Calibri"/>
          <w:sz w:val="22"/>
          <w:szCs w:val="22"/>
          <w:lang w:val="fr-FR"/>
        </w:rPr>
      </w:pPr>
      <w:r w:rsidRPr="00281A49">
        <w:rPr>
          <w:rFonts w:ascii="Calibri" w:hAnsi="Calibri" w:cs="Calibri"/>
          <w:color w:val="000000"/>
          <w:sz w:val="22"/>
          <w:szCs w:val="22"/>
          <w:lang w:val="fr-FR"/>
        </w:rPr>
        <w:t xml:space="preserve">Les </w:t>
      </w:r>
      <w:r w:rsidR="0020688A">
        <w:rPr>
          <w:rFonts w:ascii="Calibri" w:hAnsi="Calibri" w:cs="Calibri"/>
          <w:color w:val="000000"/>
          <w:sz w:val="22"/>
          <w:szCs w:val="22"/>
          <w:lang w:val="fr-FR"/>
        </w:rPr>
        <w:t xml:space="preserve">différentes possibilités </w:t>
      </w:r>
      <w:r w:rsidRPr="00281A49">
        <w:rPr>
          <w:rFonts w:ascii="Calibri" w:hAnsi="Calibri" w:cs="Calibri"/>
          <w:color w:val="000000"/>
          <w:sz w:val="22"/>
          <w:szCs w:val="22"/>
          <w:lang w:val="fr-FR"/>
        </w:rPr>
        <w:t xml:space="preserve">de montage </w:t>
      </w:r>
      <w:r w:rsidRPr="00281A49">
        <w:rPr>
          <w:rFonts w:ascii="Calibri" w:hAnsi="Calibri" w:cs="Calibri"/>
          <w:sz w:val="22"/>
          <w:szCs w:val="22"/>
          <w:lang w:val="fr-FR"/>
        </w:rPr>
        <w:t>de</w:t>
      </w:r>
      <w:r w:rsidR="00DB1D85">
        <w:rPr>
          <w:rFonts w:ascii="Calibri" w:hAnsi="Calibri" w:cs="Calibri"/>
          <w:sz w:val="22"/>
          <w:szCs w:val="22"/>
          <w:lang w:val="fr-FR"/>
        </w:rPr>
        <w:t xml:space="preserve"> ces</w:t>
      </w:r>
      <w:r w:rsidRPr="00281A49">
        <w:rPr>
          <w:rFonts w:ascii="Calibri" w:hAnsi="Calibri" w:cs="Calibri"/>
          <w:sz w:val="22"/>
          <w:szCs w:val="22"/>
          <w:lang w:val="fr-FR"/>
        </w:rPr>
        <w:t xml:space="preserve"> projecteurs d’installation </w:t>
      </w:r>
      <w:r w:rsidRPr="00281A49">
        <w:rPr>
          <w:rFonts w:ascii="Calibri" w:hAnsi="Calibri" w:cs="Calibri"/>
          <w:color w:val="000000"/>
          <w:sz w:val="22"/>
          <w:szCs w:val="22"/>
          <w:lang w:val="fr-FR"/>
        </w:rPr>
        <w:t>offrent une grande liberté d’utilisation</w:t>
      </w:r>
      <w:r w:rsidRPr="00281A49">
        <w:rPr>
          <w:rFonts w:ascii="Calibri" w:hAnsi="Calibri" w:cs="Calibri"/>
          <w:sz w:val="22"/>
          <w:szCs w:val="22"/>
          <w:lang w:val="fr-FR"/>
        </w:rPr>
        <w:t xml:space="preserve"> – aussi bien </w:t>
      </w:r>
      <w:r w:rsidRPr="00281A49">
        <w:rPr>
          <w:rFonts w:ascii="Calibri" w:hAnsi="Calibri" w:cs="Calibri"/>
          <w:color w:val="000000"/>
          <w:sz w:val="22"/>
          <w:szCs w:val="22"/>
          <w:lang w:val="fr-FR"/>
        </w:rPr>
        <w:t xml:space="preserve">en suspension que fixés à </w:t>
      </w:r>
      <w:r w:rsidR="00DB1D85">
        <w:rPr>
          <w:rFonts w:ascii="Calibri" w:hAnsi="Calibri" w:cs="Calibri"/>
          <w:color w:val="000000"/>
          <w:sz w:val="22"/>
          <w:szCs w:val="22"/>
          <w:lang w:val="fr-FR"/>
        </w:rPr>
        <w:t>la lyre</w:t>
      </w:r>
      <w:r w:rsidRPr="00281A49">
        <w:rPr>
          <w:rFonts w:ascii="Calibri" w:hAnsi="Calibri" w:cs="Calibri"/>
          <w:color w:val="000000"/>
          <w:sz w:val="22"/>
          <w:szCs w:val="22"/>
          <w:lang w:val="fr-FR"/>
        </w:rPr>
        <w:t xml:space="preserve"> </w:t>
      </w:r>
      <w:r w:rsidR="003E3B34">
        <w:rPr>
          <w:rFonts w:ascii="Calibri" w:hAnsi="Calibri" w:cs="Calibri"/>
          <w:color w:val="000000"/>
          <w:sz w:val="22"/>
          <w:szCs w:val="22"/>
          <w:lang w:val="fr-FR"/>
        </w:rPr>
        <w:t>incluse dans la livraison</w:t>
      </w:r>
      <w:r w:rsidRPr="00281A49">
        <w:rPr>
          <w:rFonts w:ascii="Calibri" w:hAnsi="Calibri" w:cs="Calibri"/>
          <w:color w:val="000000"/>
          <w:sz w:val="22"/>
          <w:szCs w:val="22"/>
          <w:lang w:val="fr-FR"/>
        </w:rPr>
        <w:t>. D’autres accessoires permettent un montage intégré au plafond ainsi qu’un montage mural pour un éclairage vers le bas ou vers le haut.</w:t>
      </w:r>
    </w:p>
    <w:p w14:paraId="32EB0A9C" w14:textId="77777777" w:rsidR="00B351CA" w:rsidRPr="00281A49" w:rsidRDefault="00B351CA" w:rsidP="000410F7">
      <w:pPr>
        <w:pStyle w:val="StandardWeb"/>
        <w:spacing w:before="0" w:beforeAutospacing="0" w:after="0" w:afterAutospacing="0"/>
        <w:jc w:val="both"/>
        <w:rPr>
          <w:rFonts w:ascii="Calibri" w:hAnsi="Calibri" w:cs="Calibri"/>
          <w:sz w:val="22"/>
          <w:szCs w:val="22"/>
          <w:lang w:val="fr-FR"/>
        </w:rPr>
      </w:pPr>
    </w:p>
    <w:p w14:paraId="7E02C953" w14:textId="77777777" w:rsidR="00B351CA" w:rsidRPr="00281A49" w:rsidRDefault="00B351CA" w:rsidP="000410F7">
      <w:pPr>
        <w:pStyle w:val="StandardWeb"/>
        <w:spacing w:before="0" w:beforeAutospacing="0" w:after="0" w:afterAutospacing="0"/>
        <w:jc w:val="both"/>
        <w:rPr>
          <w:rFonts w:ascii="Calibri" w:hAnsi="Calibri" w:cs="Calibri"/>
          <w:sz w:val="22"/>
          <w:szCs w:val="22"/>
          <w:lang w:val="fr-FR"/>
        </w:rPr>
      </w:pPr>
      <w:r w:rsidRPr="00281A49">
        <w:rPr>
          <w:rFonts w:ascii="Calibri" w:hAnsi="Calibri" w:cs="Calibri"/>
          <w:color w:val="000000"/>
          <w:sz w:val="22"/>
          <w:szCs w:val="22"/>
          <w:lang w:val="fr-FR"/>
        </w:rPr>
        <w:t>La série comprend des versions avec LED RGBAL Daylight, Tungsten et Full-Colour pour une lumière sans scintillement avec un comportement de gradation progressif et à haute résolution grâce à la technologie 16 bits.</w:t>
      </w:r>
    </w:p>
    <w:p w14:paraId="4BF2805E" w14:textId="77777777" w:rsidR="00B351CA" w:rsidRPr="00281A49" w:rsidRDefault="00B351CA" w:rsidP="000410F7">
      <w:pPr>
        <w:pStyle w:val="StandardWeb"/>
        <w:spacing w:before="0" w:beforeAutospacing="0" w:after="0" w:afterAutospacing="0"/>
        <w:jc w:val="both"/>
        <w:rPr>
          <w:rFonts w:ascii="Calibri" w:hAnsi="Calibri" w:cs="Calibri"/>
          <w:sz w:val="22"/>
          <w:szCs w:val="22"/>
          <w:lang w:val="fr-FR"/>
        </w:rPr>
      </w:pPr>
    </w:p>
    <w:p w14:paraId="313382DF" w14:textId="77777777" w:rsidR="00B351CA" w:rsidRPr="00281A49" w:rsidRDefault="00B351CA" w:rsidP="000410F7">
      <w:pPr>
        <w:pStyle w:val="StandardWeb"/>
        <w:spacing w:before="0" w:beforeAutospacing="0" w:after="0" w:afterAutospacing="0"/>
        <w:jc w:val="both"/>
        <w:rPr>
          <w:rFonts w:ascii="Calibri" w:hAnsi="Calibri" w:cs="Calibri"/>
          <w:sz w:val="22"/>
          <w:szCs w:val="22"/>
          <w:lang w:val="fr-FR"/>
        </w:rPr>
      </w:pPr>
      <w:r w:rsidRPr="00281A49">
        <w:rPr>
          <w:rFonts w:ascii="Calibri" w:hAnsi="Calibri" w:cs="Calibri"/>
          <w:color w:val="000000"/>
          <w:sz w:val="22"/>
          <w:szCs w:val="22"/>
          <w:lang w:val="fr-FR"/>
        </w:rPr>
        <w:t>Les séries Cameo H1 et H2 et tous leurs accessoires sont disponibles dès maintenant.</w:t>
      </w:r>
    </w:p>
    <w:p w14:paraId="7CF87FF6" w14:textId="6640FBF2" w:rsidR="00B351CA" w:rsidRPr="00281A49" w:rsidRDefault="00B351CA" w:rsidP="000410F7">
      <w:pPr>
        <w:pStyle w:val="StandardWeb"/>
        <w:spacing w:before="0" w:beforeAutospacing="0" w:after="0" w:afterAutospacing="0"/>
        <w:jc w:val="both"/>
        <w:rPr>
          <w:rFonts w:ascii="Calibri" w:hAnsi="Calibri" w:cs="Calibri"/>
          <w:sz w:val="22"/>
          <w:szCs w:val="22"/>
          <w:lang w:val="fr-FR"/>
        </w:rPr>
      </w:pPr>
    </w:p>
    <w:p w14:paraId="660E6241" w14:textId="3A67080B" w:rsidR="00B351CA" w:rsidRPr="00FB511A" w:rsidRDefault="00B351CA" w:rsidP="000410F7">
      <w:pPr>
        <w:pStyle w:val="StandardWeb"/>
        <w:spacing w:before="0" w:beforeAutospacing="0" w:after="0" w:afterAutospacing="0"/>
        <w:jc w:val="both"/>
        <w:rPr>
          <w:rFonts w:ascii="Calibri" w:eastAsia="Tahoma" w:hAnsi="Calibri" w:cs="Calibri"/>
          <w:bCs/>
          <w:color w:val="0D0D0D" w:themeColor="text1" w:themeTint="F2"/>
          <w:kern w:val="1"/>
          <w:sz w:val="22"/>
          <w:szCs w:val="22"/>
          <w:lang w:val="en-US"/>
        </w:rPr>
      </w:pPr>
      <w:r>
        <w:rPr>
          <w:rFonts w:ascii="Calibri" w:hAnsi="Calibri" w:cs="Calibri"/>
          <w:sz w:val="22"/>
          <w:szCs w:val="22"/>
          <w:lang w:val="en"/>
        </w:rPr>
        <w:t xml:space="preserve">#Cameo  #ForLumenBeings  #Lighting  #Awards  </w:t>
      </w:r>
      <w:r>
        <w:rPr>
          <w:rFonts w:ascii="Calibri" w:hAnsi="Calibri" w:cs="Calibri"/>
          <w:color w:val="0D0D0D" w:themeColor="text1" w:themeTint="F2"/>
          <w:kern w:val="1"/>
          <w:sz w:val="22"/>
          <w:szCs w:val="22"/>
          <w:lang w:val="en"/>
        </w:rPr>
        <w:t>#EventTech  #ExperienceEventtech</w:t>
      </w:r>
    </w:p>
    <w:p w14:paraId="020C6D91" w14:textId="77777777" w:rsidR="00B351CA" w:rsidRPr="00FB511A" w:rsidRDefault="00B351CA" w:rsidP="000410F7">
      <w:pPr>
        <w:pStyle w:val="StandardWeb"/>
        <w:spacing w:before="0" w:beforeAutospacing="0" w:after="0" w:afterAutospacing="0"/>
        <w:jc w:val="both"/>
        <w:rPr>
          <w:rFonts w:ascii="Calibri" w:hAnsi="Calibri" w:cs="Calibri"/>
          <w:sz w:val="22"/>
          <w:szCs w:val="22"/>
          <w:lang w:val="en-US"/>
        </w:rPr>
      </w:pPr>
    </w:p>
    <w:p w14:paraId="645206A3" w14:textId="77D16E87" w:rsidR="00B351CA" w:rsidRPr="00FB511A" w:rsidRDefault="00B351CA" w:rsidP="001C41EC">
      <w:pPr>
        <w:pStyle w:val="StandardWeb"/>
        <w:spacing w:before="0" w:beforeAutospacing="0" w:after="0" w:afterAutospacing="0"/>
        <w:rPr>
          <w:rFonts w:ascii="Calibri" w:hAnsi="Calibri" w:cs="Calibri"/>
          <w:sz w:val="22"/>
          <w:szCs w:val="22"/>
          <w:lang w:val="en-US"/>
        </w:rPr>
      </w:pPr>
      <w:r>
        <w:rPr>
          <w:rFonts w:ascii="Calibri" w:hAnsi="Calibri" w:cs="Calibri"/>
          <w:b/>
          <w:bCs/>
          <w:sz w:val="22"/>
          <w:szCs w:val="22"/>
          <w:lang w:val="en"/>
        </w:rPr>
        <w:t>Plus</w:t>
      </w:r>
      <w:r w:rsidR="001C41EC">
        <w:rPr>
          <w:rFonts w:ascii="Calibri" w:hAnsi="Calibri" w:cs="Calibri"/>
          <w:b/>
          <w:bCs/>
          <w:sz w:val="22"/>
          <w:szCs w:val="22"/>
          <w:lang w:val="en"/>
        </w:rPr>
        <w:t xml:space="preserve"> </w:t>
      </w:r>
      <w:r>
        <w:rPr>
          <w:rFonts w:ascii="Calibri" w:hAnsi="Calibri" w:cs="Calibri"/>
          <w:b/>
          <w:bCs/>
          <w:sz w:val="22"/>
          <w:szCs w:val="22"/>
          <w:lang w:val="en"/>
        </w:rPr>
        <w:t>d’informations</w:t>
      </w:r>
      <w:r>
        <w:rPr>
          <w:rFonts w:ascii="Calibri" w:hAnsi="Calibri" w:cs="Calibri"/>
          <w:sz w:val="22"/>
          <w:szCs w:val="22"/>
          <w:lang w:val="en"/>
        </w:rPr>
        <w:t> </w:t>
      </w:r>
      <w:r>
        <w:rPr>
          <w:rFonts w:ascii="Calibri" w:hAnsi="Calibri" w:cs="Calibri"/>
          <w:b/>
          <w:bCs/>
          <w:sz w:val="22"/>
          <w:szCs w:val="22"/>
          <w:lang w:val="en"/>
        </w:rPr>
        <w:t xml:space="preserve">: </w:t>
      </w:r>
      <w:r>
        <w:rPr>
          <w:rFonts w:ascii="Calibri" w:hAnsi="Calibri" w:cs="Calibri"/>
          <w:sz w:val="22"/>
          <w:szCs w:val="22"/>
          <w:shd w:val="clear" w:color="auto" w:fill="FFFF00"/>
          <w:lang w:val="en"/>
        </w:rPr>
        <w:br/>
      </w:r>
      <w:hyperlink r:id="rId7" w:history="1">
        <w:r>
          <w:rPr>
            <w:rStyle w:val="Hyperlink"/>
            <w:rFonts w:ascii="Calibri" w:hAnsi="Calibri" w:cs="Calibri"/>
            <w:sz w:val="22"/>
            <w:szCs w:val="22"/>
            <w:shd w:val="clear" w:color="auto" w:fill="FFFFFF"/>
            <w:lang w:val="en"/>
          </w:rPr>
          <w:t>german design award</w:t>
        </w:r>
      </w:hyperlink>
    </w:p>
    <w:p w14:paraId="39D5883C" w14:textId="77777777" w:rsidR="00B351CA" w:rsidRPr="00FB511A" w:rsidRDefault="005C59EA" w:rsidP="000410F7">
      <w:pPr>
        <w:pStyle w:val="StandardWeb"/>
        <w:spacing w:before="0" w:beforeAutospacing="0" w:after="0" w:afterAutospacing="0"/>
        <w:jc w:val="both"/>
        <w:rPr>
          <w:rFonts w:ascii="Calibri" w:hAnsi="Calibri" w:cs="Calibri"/>
          <w:sz w:val="22"/>
          <w:szCs w:val="22"/>
          <w:lang w:val="en-US"/>
        </w:rPr>
      </w:pPr>
      <w:hyperlink r:id="rId8" w:history="1">
        <w:r w:rsidR="005A71E6">
          <w:rPr>
            <w:rStyle w:val="Hyperlink"/>
            <w:rFonts w:ascii="Calibri" w:hAnsi="Calibri" w:cs="Calibri"/>
            <w:sz w:val="22"/>
            <w:szCs w:val="22"/>
            <w:lang w:val="en"/>
          </w:rPr>
          <w:t>iconic awards</w:t>
        </w:r>
      </w:hyperlink>
    </w:p>
    <w:p w14:paraId="4FD84AA6" w14:textId="77777777" w:rsidR="00B351CA" w:rsidRPr="00FB511A" w:rsidRDefault="005C59EA" w:rsidP="000410F7">
      <w:pPr>
        <w:pStyle w:val="StandardWeb"/>
        <w:spacing w:before="0" w:beforeAutospacing="0" w:after="0" w:afterAutospacing="0"/>
        <w:jc w:val="both"/>
        <w:rPr>
          <w:rFonts w:ascii="Calibri" w:hAnsi="Calibri" w:cs="Calibri"/>
          <w:sz w:val="22"/>
          <w:szCs w:val="22"/>
          <w:lang w:val="en-US"/>
        </w:rPr>
      </w:pPr>
      <w:hyperlink r:id="rId9" w:history="1">
        <w:r w:rsidR="005A71E6">
          <w:rPr>
            <w:rStyle w:val="Hyperlink"/>
            <w:rFonts w:ascii="Calibri" w:hAnsi="Calibri" w:cs="Calibri"/>
            <w:sz w:val="22"/>
            <w:szCs w:val="22"/>
            <w:lang w:val="en"/>
          </w:rPr>
          <w:t>cameolight.com</w:t>
        </w:r>
      </w:hyperlink>
    </w:p>
    <w:p w14:paraId="37B4AEE0" w14:textId="77777777" w:rsidR="00B351CA" w:rsidRPr="00FB511A" w:rsidRDefault="00B351CA" w:rsidP="000410F7">
      <w:pPr>
        <w:pStyle w:val="StandardWeb"/>
        <w:spacing w:before="0" w:beforeAutospacing="0" w:after="0" w:afterAutospacing="0"/>
        <w:jc w:val="both"/>
        <w:rPr>
          <w:rFonts w:ascii="Calibri" w:hAnsi="Calibri" w:cs="Calibri"/>
          <w:sz w:val="22"/>
          <w:szCs w:val="22"/>
          <w:lang w:val="en-US"/>
        </w:rPr>
      </w:pPr>
    </w:p>
    <w:p w14:paraId="29A5A8C9" w14:textId="26998117" w:rsidR="00B351CA" w:rsidRPr="00FB511A" w:rsidRDefault="005C59EA" w:rsidP="000410F7">
      <w:pPr>
        <w:pStyle w:val="StandardWeb"/>
        <w:spacing w:before="0" w:beforeAutospacing="0" w:after="0" w:afterAutospacing="0"/>
        <w:jc w:val="both"/>
        <w:rPr>
          <w:rFonts w:ascii="Calibri" w:hAnsi="Calibri" w:cs="Calibri"/>
          <w:sz w:val="22"/>
          <w:szCs w:val="22"/>
          <w:lang w:val="en-US"/>
        </w:rPr>
      </w:pPr>
      <w:hyperlink r:id="rId10" w:history="1">
        <w:r w:rsidR="005A71E6">
          <w:rPr>
            <w:rStyle w:val="Hyperlink"/>
            <w:rFonts w:ascii="Calibri" w:hAnsi="Calibri" w:cs="Calibri"/>
            <w:sz w:val="22"/>
            <w:szCs w:val="22"/>
            <w:lang w:val="en"/>
          </w:rPr>
          <w:t>adamhall.com</w:t>
        </w:r>
      </w:hyperlink>
      <w:r w:rsidR="005A71E6">
        <w:rPr>
          <w:rFonts w:ascii="Calibri" w:hAnsi="Calibri" w:cs="Calibri"/>
          <w:sz w:val="22"/>
          <w:szCs w:val="22"/>
          <w:lang w:val="en"/>
        </w:rPr>
        <w:br/>
      </w:r>
      <w:hyperlink r:id="rId11" w:history="1">
        <w:r w:rsidR="005A71E6">
          <w:rPr>
            <w:rStyle w:val="Hyperlink"/>
            <w:rFonts w:ascii="Calibri" w:hAnsi="Calibri" w:cs="Calibri"/>
            <w:sz w:val="22"/>
            <w:szCs w:val="22"/>
            <w:lang w:val="en"/>
          </w:rPr>
          <w:t>event.tech</w:t>
        </w:r>
      </w:hyperlink>
    </w:p>
    <w:p w14:paraId="5348DF97" w14:textId="77777777" w:rsidR="00B351CA" w:rsidRPr="00FB511A" w:rsidRDefault="00B351CA" w:rsidP="000410F7">
      <w:pPr>
        <w:pStyle w:val="StandardWeb"/>
        <w:spacing w:before="0" w:beforeAutospacing="0" w:after="0" w:afterAutospacing="0"/>
        <w:jc w:val="both"/>
        <w:rPr>
          <w:rFonts w:ascii="Calibri" w:hAnsi="Calibri" w:cs="Calibri"/>
          <w:sz w:val="22"/>
          <w:szCs w:val="22"/>
          <w:lang w:val="en-US"/>
        </w:rPr>
      </w:pPr>
    </w:p>
    <w:p w14:paraId="2BB1391F" w14:textId="77777777" w:rsidR="00780A4D" w:rsidRPr="00FB511A" w:rsidRDefault="00780A4D" w:rsidP="000410F7">
      <w:pPr>
        <w:jc w:val="both"/>
        <w:rPr>
          <w:rStyle w:val="Hyperlink"/>
          <w:rFonts w:ascii="Calibri" w:eastAsia="Arial" w:hAnsi="Calibri"/>
          <w:sz w:val="22"/>
          <w:lang w:val="en-US"/>
        </w:rPr>
      </w:pPr>
    </w:p>
    <w:p w14:paraId="7644B73E"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5DF3A8DB"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427775B3"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08488F74"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304B209B"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118E80D4"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11B9089A"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476D6A86"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495C6099"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332D4A7C"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730532CF"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730D743C"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04DB585F"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5A5555B6"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4855A3B0"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6DFB4260"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19238324"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53C37667"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42D4A2A5" w14:textId="77777777" w:rsidR="001C41EC" w:rsidRDefault="001C41EC" w:rsidP="001C41EC">
      <w:pPr>
        <w:widowControl w:val="0"/>
        <w:suppressAutoHyphens/>
        <w:rPr>
          <w:rFonts w:ascii="Calibri" w:eastAsia="Tahoma" w:hAnsi="Calibri" w:cs="Mangal"/>
          <w:b/>
          <w:bCs/>
          <w:color w:val="808080"/>
          <w:kern w:val="1"/>
          <w:sz w:val="18"/>
          <w:lang w:val="en" w:eastAsia="hi-IN" w:bidi="hi-IN"/>
        </w:rPr>
      </w:pPr>
    </w:p>
    <w:p w14:paraId="236A33A7" w14:textId="0CA220E5" w:rsidR="001C41EC" w:rsidRPr="001C41EC" w:rsidRDefault="001C41EC" w:rsidP="001C41EC">
      <w:pPr>
        <w:widowControl w:val="0"/>
        <w:suppressAutoHyphens/>
        <w:rPr>
          <w:rFonts w:ascii="Calibri" w:eastAsia="Tahoma" w:hAnsi="Calibri" w:cs="Mangal"/>
          <w:b/>
          <w:color w:val="808080"/>
          <w:kern w:val="2"/>
          <w:sz w:val="18"/>
          <w:lang w:val="en-US"/>
        </w:rPr>
      </w:pPr>
      <w:r w:rsidRPr="001C41EC">
        <w:rPr>
          <w:rFonts w:ascii="Calibri" w:eastAsia="Tahoma" w:hAnsi="Calibri" w:cs="Mangal"/>
          <w:b/>
          <w:bCs/>
          <w:color w:val="808080"/>
          <w:kern w:val="1"/>
          <w:sz w:val="18"/>
          <w:lang w:val="en" w:eastAsia="hi-IN" w:bidi="hi-IN"/>
        </w:rPr>
        <w:t>À propos d'Adam Hall Group</w:t>
      </w:r>
    </w:p>
    <w:p w14:paraId="3C4C5034" w14:textId="77777777" w:rsidR="001C41EC" w:rsidRPr="001C41EC" w:rsidRDefault="001C41EC" w:rsidP="001C41EC">
      <w:pPr>
        <w:widowControl w:val="0"/>
        <w:suppressAutoHyphens/>
        <w:rPr>
          <w:rFonts w:eastAsia="Arial" w:cs="Arial"/>
          <w:color w:val="0000FF"/>
          <w:kern w:val="1"/>
          <w:sz w:val="22"/>
          <w:u w:val="single"/>
          <w:lang w:val="es-ES" w:eastAsia="hi-IN" w:bidi="hi-IN"/>
        </w:rPr>
      </w:pPr>
      <w:r w:rsidRPr="001C41EC">
        <w:rPr>
          <w:rFonts w:ascii="Calibri" w:eastAsia="Tahoma" w:hAnsi="Calibri" w:cs="Arial"/>
          <w:color w:val="808080"/>
          <w:kern w:val="1"/>
          <w:sz w:val="18"/>
          <w:lang w:val="en" w:eastAsia="hi-IN" w:bidi="hi-IN"/>
        </w:rPr>
        <w:t>Adam Hall Group est un acteur majeur de la fabrication et de la distribution de solutions techniques pour l’événementiel en Allemagne, qui fournit des partenaires commerciaux dans le monde entier. Il cible les revendeurs, le marché B2B, les sociétés spécialisées dans l’événementiel et la location de matériel, les studios de radio, les intégrateurs de systèmes AV, les entreprises privées et publiques, sans oublier les producteurs industriels de flight-cases. L’entreprise propose un large éventail de solutions audio et d’éclairage professionnelles, ainsi que des équipements scéniques et du matériel de flight-cases, commercialisés sous ses propres marques</w:t>
      </w:r>
      <w:r w:rsidRPr="001C41EC">
        <w:rPr>
          <w:rFonts w:ascii="Calibri" w:eastAsia="Tahoma" w:hAnsi="Calibri" w:cs="Arial"/>
          <w:b/>
          <w:bCs/>
          <w:color w:val="808080"/>
          <w:kern w:val="1"/>
          <w:sz w:val="18"/>
          <w:lang w:val="en" w:eastAsia="hi-IN" w:bidi="hi-IN"/>
        </w:rPr>
        <w:t xml:space="preserve"> LD Systems®, Cameo®, Gravity®, Defender®, Palmer® et Adam Hall®</w:t>
      </w:r>
      <w:r w:rsidRPr="001C41EC">
        <w:rPr>
          <w:rFonts w:ascii="Calibri" w:eastAsia="Tahoma" w:hAnsi="Calibri" w:cs="Arial"/>
          <w:color w:val="808080"/>
          <w:kern w:val="1"/>
          <w:sz w:val="18"/>
          <w:lang w:val="en" w:eastAsia="hi-IN" w:bidi="hi-IN"/>
        </w:rPr>
        <w:t xml:space="preserve">. Depuis sa création en 1975, Adam Hall Group est devenue une entreprise moderne et innovante spécialisée dans les techniques événementielles. </w:t>
      </w:r>
      <w:r w:rsidRPr="001C41EC">
        <w:rPr>
          <w:rFonts w:ascii="Calibri" w:eastAsia="Tahoma" w:hAnsi="Calibri" w:cs="Arial"/>
          <w:color w:val="808080"/>
          <w:kern w:val="1"/>
          <w:sz w:val="18"/>
          <w:lang w:val="es-ES" w:eastAsia="hi-IN" w:bidi="hi-IN"/>
        </w:rPr>
        <w:t xml:space="preserve">Le groupe dispose en son siège d’une surface de stockage de 14 000 m² au sein de son Logistics Park, situé près de Francfort-sur-le-Main. Avec pour points de mire la création de valeur et le service, Adam Hall Group a d’ores et déjà obtenu une série de récompenses internationales décernées par des institutions de renom pour ses produits novateurs et ses concepts précurseurs, parmi lesquelles le « Red Dot », le « German Design Award » et l’« iF Industrie Forum Design ». Avec l’enceinte en colonne emblématique MAUI® P900, créée en collaboration avec l’agence de design F. A. Porsche, LD Systems® présente l’avenir du design audio pro, ce qui lui a récemment valu l’attribution du très convoité German Design Award. Pour de plus amples informations sur Adam Hall Group, rendez-vous sur notre site Internet : </w:t>
      </w:r>
      <w:hyperlink r:id="rId12" w:history="1">
        <w:r w:rsidRPr="001C41EC">
          <w:rPr>
            <w:rFonts w:ascii="Calibri" w:eastAsia="Tahoma" w:hAnsi="Calibri" w:cs="Arial"/>
            <w:color w:val="0000FF"/>
            <w:kern w:val="1"/>
            <w:sz w:val="18"/>
            <w:u w:val="single"/>
            <w:lang w:val="es-ES" w:eastAsia="hi-IN" w:bidi="hi-IN"/>
          </w:rPr>
          <w:t>www.adamhall.com</w:t>
        </w:r>
      </w:hyperlink>
      <w:r w:rsidRPr="001C41EC">
        <w:rPr>
          <w:rFonts w:ascii="Calibri" w:eastAsia="Tahoma" w:hAnsi="Calibri" w:cs="Arial"/>
          <w:color w:val="808080"/>
          <w:kern w:val="1"/>
          <w:sz w:val="18"/>
          <w:lang w:val="es-ES" w:eastAsia="hi-IN" w:bidi="hi-IN"/>
        </w:rPr>
        <w:t>.</w:t>
      </w:r>
      <w:r w:rsidRPr="001C41EC">
        <w:rPr>
          <w:rFonts w:ascii="Calibri" w:eastAsia="Tahoma" w:hAnsi="Calibri" w:cs="Arial"/>
          <w:color w:val="808080"/>
          <w:kern w:val="1"/>
          <w:sz w:val="18"/>
          <w:lang w:val="es-ES" w:eastAsia="hi-IN" w:bidi="hi-IN"/>
        </w:rPr>
        <w:br/>
      </w:r>
    </w:p>
    <w:p w14:paraId="56ADC01E" w14:textId="77777777" w:rsidR="001C41EC" w:rsidRPr="001C41EC" w:rsidRDefault="001C41EC" w:rsidP="001C41EC">
      <w:pPr>
        <w:widowControl w:val="0"/>
        <w:suppressAutoHyphens/>
        <w:rPr>
          <w:rFonts w:ascii="Roboto" w:eastAsia="Tahoma" w:hAnsi="Roboto" w:cs="Mangal"/>
          <w:b/>
          <w:color w:val="808080"/>
          <w:kern w:val="1"/>
          <w:sz w:val="18"/>
          <w:lang w:val="en-US" w:eastAsia="hi-IN" w:bidi="hi-IN"/>
        </w:rPr>
      </w:pPr>
    </w:p>
    <w:p w14:paraId="62B027F2" w14:textId="77777777" w:rsidR="001C41EC" w:rsidRPr="001C41EC" w:rsidRDefault="001C41EC" w:rsidP="001C41EC">
      <w:pPr>
        <w:widowControl w:val="0"/>
        <w:suppressAutoHyphens/>
        <w:rPr>
          <w:rFonts w:ascii="Calibri" w:eastAsia="Tahoma" w:hAnsi="Calibri" w:cs="Mangal"/>
          <w:b/>
          <w:bCs/>
          <w:color w:val="808080"/>
          <w:kern w:val="1"/>
          <w:sz w:val="18"/>
          <w:lang w:val="en-US" w:eastAsia="hi-IN" w:bidi="hi-IN"/>
        </w:rPr>
      </w:pPr>
      <w:r w:rsidRPr="001C41EC">
        <w:rPr>
          <w:rFonts w:ascii="Calibri" w:eastAsia="Tahoma" w:hAnsi="Calibri" w:cs="Mangal"/>
          <w:b/>
          <w:bCs/>
          <w:color w:val="808080"/>
          <w:kern w:val="1"/>
          <w:sz w:val="18"/>
          <w:lang w:val="en" w:eastAsia="hi-IN" w:bidi="hi-IN"/>
        </w:rPr>
        <w:t>Contact presse d’AHG :</w:t>
      </w:r>
    </w:p>
    <w:p w14:paraId="1AF96215" w14:textId="77777777" w:rsidR="001C41EC" w:rsidRPr="001C41EC" w:rsidRDefault="001C41EC" w:rsidP="001C41EC">
      <w:pPr>
        <w:widowControl w:val="0"/>
        <w:suppressAutoHyphens/>
        <w:rPr>
          <w:rFonts w:ascii="Calibri" w:eastAsia="Tahoma" w:hAnsi="Calibri" w:cs="Mangal"/>
          <w:color w:val="808080"/>
          <w:kern w:val="1"/>
          <w:sz w:val="18"/>
          <w:lang w:val="en-US" w:eastAsia="hi-IN" w:bidi="hi-IN"/>
        </w:rPr>
      </w:pPr>
      <w:r w:rsidRPr="001C41EC">
        <w:rPr>
          <w:rFonts w:ascii="Calibri" w:eastAsia="Tahoma" w:hAnsi="Calibri" w:cs="Mangal"/>
          <w:color w:val="808080"/>
          <w:kern w:val="1"/>
          <w:sz w:val="18"/>
          <w:lang w:val="en" w:eastAsia="hi-IN" w:bidi="hi-IN"/>
        </w:rPr>
        <w:t>Alexander Cevolani</w:t>
      </w:r>
    </w:p>
    <w:p w14:paraId="6C347A12" w14:textId="77777777" w:rsidR="001C41EC" w:rsidRPr="001C41EC" w:rsidRDefault="001C41EC" w:rsidP="001C41EC">
      <w:pPr>
        <w:widowControl w:val="0"/>
        <w:suppressAutoHyphens/>
        <w:rPr>
          <w:rFonts w:ascii="Calibri" w:eastAsia="Tahoma" w:hAnsi="Calibri" w:cs="Mangal"/>
          <w:color w:val="808080"/>
          <w:kern w:val="1"/>
          <w:sz w:val="18"/>
          <w:lang w:val="en-US" w:eastAsia="hi-IN" w:bidi="hi-IN"/>
        </w:rPr>
      </w:pPr>
      <w:r w:rsidRPr="001C41EC">
        <w:rPr>
          <w:rFonts w:ascii="Calibri" w:eastAsia="Tahoma" w:hAnsi="Calibri" w:cs="Mangal"/>
          <w:color w:val="808080"/>
          <w:kern w:val="1"/>
          <w:sz w:val="18"/>
          <w:lang w:val="en" w:eastAsia="hi-IN" w:bidi="hi-IN"/>
        </w:rPr>
        <w:t>Event Edit | PR &amp; Editorial Office</w:t>
      </w:r>
    </w:p>
    <w:p w14:paraId="343BF874" w14:textId="77777777" w:rsidR="001C41EC" w:rsidRPr="001C41EC" w:rsidRDefault="001C41EC" w:rsidP="001C41EC">
      <w:pPr>
        <w:widowControl w:val="0"/>
        <w:suppressAutoHyphens/>
        <w:rPr>
          <w:rFonts w:ascii="Calibri" w:eastAsia="Tahoma" w:hAnsi="Calibri" w:cs="Mangal"/>
          <w:color w:val="808080"/>
          <w:kern w:val="1"/>
          <w:sz w:val="18"/>
          <w:lang w:eastAsia="hi-IN" w:bidi="hi-IN"/>
        </w:rPr>
      </w:pPr>
      <w:r w:rsidRPr="001C41EC">
        <w:rPr>
          <w:rFonts w:ascii="Calibri" w:eastAsia="Tahoma" w:hAnsi="Calibri" w:cs="Mangal"/>
          <w:color w:val="808080"/>
          <w:kern w:val="1"/>
          <w:sz w:val="18"/>
          <w:lang w:val="en" w:eastAsia="hi-IN" w:bidi="hi-IN"/>
        </w:rPr>
        <w:t>E-mail :</w:t>
      </w:r>
      <w:r w:rsidRPr="001C41EC">
        <w:rPr>
          <w:rFonts w:ascii="Calibri" w:eastAsia="Tahoma" w:hAnsi="Calibri" w:cs="Mangal"/>
          <w:color w:val="808080"/>
          <w:kern w:val="1"/>
          <w:sz w:val="18"/>
          <w:lang w:val="en" w:eastAsia="hi-IN" w:bidi="hi-IN"/>
        </w:rPr>
        <w:tab/>
      </w:r>
      <w:hyperlink r:id="rId13" w:history="1">
        <w:r w:rsidRPr="001C41EC">
          <w:rPr>
            <w:rFonts w:ascii="Calibri" w:eastAsia="Tahoma" w:hAnsi="Calibri" w:cs="Mangal"/>
            <w:b/>
            <w:bCs/>
            <w:color w:val="808080"/>
            <w:kern w:val="1"/>
            <w:sz w:val="18"/>
            <w:u w:val="single"/>
            <w:lang w:val="en" w:eastAsia="hi-IN" w:bidi="hi-IN"/>
          </w:rPr>
          <w:t>press@adamhall.com</w:t>
        </w:r>
      </w:hyperlink>
    </w:p>
    <w:p w14:paraId="5300F5D9" w14:textId="7A1034AD" w:rsidR="000C2D39" w:rsidRPr="00FB511A" w:rsidRDefault="000C2D39" w:rsidP="000410F7">
      <w:pPr>
        <w:pStyle w:val="KeinLeerraum"/>
        <w:jc w:val="both"/>
        <w:rPr>
          <w:rFonts w:ascii="Arial" w:hAnsi="Arial"/>
          <w:sz w:val="20"/>
          <w:lang w:val="en-US"/>
        </w:rPr>
      </w:pPr>
    </w:p>
    <w:sectPr w:rsidR="000C2D39" w:rsidRPr="00FB511A"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7A21D" w14:textId="77777777" w:rsidR="002F01AA" w:rsidRDefault="002F01AA" w:rsidP="004330C6">
      <w:r>
        <w:separator/>
      </w:r>
    </w:p>
  </w:endnote>
  <w:endnote w:type="continuationSeparator" w:id="0">
    <w:p w14:paraId="1DF33046" w14:textId="77777777" w:rsidR="002F01AA" w:rsidRDefault="002F01AA" w:rsidP="004330C6">
      <w:r>
        <w:continuationSeparator/>
      </w:r>
    </w:p>
  </w:endnote>
  <w:endnote w:type="continuationNotice" w:id="1">
    <w:p w14:paraId="458F2E40" w14:textId="77777777" w:rsidR="002F01AA" w:rsidRDefault="002F01A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MS Mincho"/>
    <w:charset w:val="80"/>
    <w:family w:val="auto"/>
    <w:pitch w:val="default"/>
  </w:font>
  <w:font w:name="Tahoma">
    <w:panose1 w:val="020B0604030504040204"/>
    <w:charset w:val="00"/>
    <w:family w:val="swiss"/>
    <w:pitch w:val="variable"/>
    <w:sig w:usb0="E1002EFF" w:usb1="C000605B" w:usb2="00000029" w:usb3="00000000" w:csb0="000101FF" w:csb1="00000000"/>
  </w:font>
  <w:font w:name="Mangal">
    <w:altName w:val="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8AE8A" w14:textId="77777777" w:rsidR="004330C6" w:rsidRDefault="000264B5">
    <w:pPr>
      <w:pStyle w:val="Fuzeile"/>
    </w:pPr>
    <w:r>
      <w:rPr>
        <w:noProof/>
        <w:lang w:val="en"/>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66683" w14:textId="77777777" w:rsidR="002F01AA" w:rsidRDefault="002F01AA" w:rsidP="004330C6">
      <w:r>
        <w:separator/>
      </w:r>
    </w:p>
  </w:footnote>
  <w:footnote w:type="continuationSeparator" w:id="0">
    <w:p w14:paraId="6EFB0A91" w14:textId="77777777" w:rsidR="002F01AA" w:rsidRDefault="002F01AA" w:rsidP="004330C6">
      <w:r>
        <w:continuationSeparator/>
      </w:r>
    </w:p>
  </w:footnote>
  <w:footnote w:type="continuationNotice" w:id="1">
    <w:p w14:paraId="0E778EF8" w14:textId="77777777" w:rsidR="002F01AA" w:rsidRDefault="002F01A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EFD" w14:textId="77777777" w:rsidR="004330C6" w:rsidRPr="004304C9" w:rsidRDefault="004330C6" w:rsidP="004330C6">
    <w:pPr>
      <w:pStyle w:val="Kopfzeile"/>
      <w:jc w:val="right"/>
      <w:rPr>
        <w:u w:val="single"/>
      </w:rPr>
    </w:pPr>
    <w:r>
      <w:rPr>
        <w:noProof/>
        <w:lang w:val="en"/>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10F7"/>
    <w:rsid w:val="00042DFF"/>
    <w:rsid w:val="0005069C"/>
    <w:rsid w:val="000619FA"/>
    <w:rsid w:val="00065525"/>
    <w:rsid w:val="000818EA"/>
    <w:rsid w:val="00086C2C"/>
    <w:rsid w:val="000915D6"/>
    <w:rsid w:val="00092E57"/>
    <w:rsid w:val="00093AB0"/>
    <w:rsid w:val="00094AE6"/>
    <w:rsid w:val="000A5344"/>
    <w:rsid w:val="000C2D39"/>
    <w:rsid w:val="000C5BAB"/>
    <w:rsid w:val="000C6A86"/>
    <w:rsid w:val="000E0F08"/>
    <w:rsid w:val="000E3EBF"/>
    <w:rsid w:val="00111329"/>
    <w:rsid w:val="00117B88"/>
    <w:rsid w:val="00120233"/>
    <w:rsid w:val="00124F49"/>
    <w:rsid w:val="00131E09"/>
    <w:rsid w:val="00134EF8"/>
    <w:rsid w:val="00135BAE"/>
    <w:rsid w:val="001452D7"/>
    <w:rsid w:val="00145E8F"/>
    <w:rsid w:val="00145EA5"/>
    <w:rsid w:val="001543F7"/>
    <w:rsid w:val="00162DF3"/>
    <w:rsid w:val="00164685"/>
    <w:rsid w:val="00175DBD"/>
    <w:rsid w:val="00184D8B"/>
    <w:rsid w:val="001905C4"/>
    <w:rsid w:val="00190662"/>
    <w:rsid w:val="00197BE9"/>
    <w:rsid w:val="001A1584"/>
    <w:rsid w:val="001A27A0"/>
    <w:rsid w:val="001A2EAF"/>
    <w:rsid w:val="001A5696"/>
    <w:rsid w:val="001B0461"/>
    <w:rsid w:val="001B7E2C"/>
    <w:rsid w:val="001C15E9"/>
    <w:rsid w:val="001C41EC"/>
    <w:rsid w:val="001C5825"/>
    <w:rsid w:val="001C5D7F"/>
    <w:rsid w:val="001D3A0C"/>
    <w:rsid w:val="001D6F99"/>
    <w:rsid w:val="001D716B"/>
    <w:rsid w:val="001E29E8"/>
    <w:rsid w:val="001E51CC"/>
    <w:rsid w:val="001E7D25"/>
    <w:rsid w:val="001F0E84"/>
    <w:rsid w:val="0020235E"/>
    <w:rsid w:val="002034DB"/>
    <w:rsid w:val="0020447B"/>
    <w:rsid w:val="00205109"/>
    <w:rsid w:val="0020688A"/>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1A49"/>
    <w:rsid w:val="00283958"/>
    <w:rsid w:val="00285810"/>
    <w:rsid w:val="002956B9"/>
    <w:rsid w:val="002A71BC"/>
    <w:rsid w:val="002B1920"/>
    <w:rsid w:val="002B2157"/>
    <w:rsid w:val="002B2BC8"/>
    <w:rsid w:val="002B49DF"/>
    <w:rsid w:val="002B520A"/>
    <w:rsid w:val="002C2F6F"/>
    <w:rsid w:val="002C32D6"/>
    <w:rsid w:val="002D3E93"/>
    <w:rsid w:val="002D4A1E"/>
    <w:rsid w:val="002E7A44"/>
    <w:rsid w:val="002F01AA"/>
    <w:rsid w:val="0030183D"/>
    <w:rsid w:val="00301970"/>
    <w:rsid w:val="00302508"/>
    <w:rsid w:val="00311FA5"/>
    <w:rsid w:val="00317208"/>
    <w:rsid w:val="003207DF"/>
    <w:rsid w:val="00327133"/>
    <w:rsid w:val="00340CFE"/>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6419"/>
    <w:rsid w:val="003C3F56"/>
    <w:rsid w:val="003C7650"/>
    <w:rsid w:val="003D51DC"/>
    <w:rsid w:val="003E3B34"/>
    <w:rsid w:val="003E4B2D"/>
    <w:rsid w:val="003E5409"/>
    <w:rsid w:val="003E694B"/>
    <w:rsid w:val="003F39D9"/>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5441"/>
    <w:rsid w:val="004A62CF"/>
    <w:rsid w:val="004C0829"/>
    <w:rsid w:val="004D54E9"/>
    <w:rsid w:val="004E5409"/>
    <w:rsid w:val="004F3D40"/>
    <w:rsid w:val="004F5412"/>
    <w:rsid w:val="00507E4C"/>
    <w:rsid w:val="00512A72"/>
    <w:rsid w:val="005208EC"/>
    <w:rsid w:val="00525BCE"/>
    <w:rsid w:val="00532A65"/>
    <w:rsid w:val="0054267D"/>
    <w:rsid w:val="00546AE6"/>
    <w:rsid w:val="00567A8E"/>
    <w:rsid w:val="00570D8A"/>
    <w:rsid w:val="005744F5"/>
    <w:rsid w:val="00576210"/>
    <w:rsid w:val="0057690B"/>
    <w:rsid w:val="00577A2D"/>
    <w:rsid w:val="00582031"/>
    <w:rsid w:val="005876FE"/>
    <w:rsid w:val="00587CCD"/>
    <w:rsid w:val="005A71E6"/>
    <w:rsid w:val="005B49DD"/>
    <w:rsid w:val="005B7BB6"/>
    <w:rsid w:val="005C0807"/>
    <w:rsid w:val="005C3632"/>
    <w:rsid w:val="005C4A93"/>
    <w:rsid w:val="005C59EA"/>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80A4D"/>
    <w:rsid w:val="00785771"/>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7FBE"/>
    <w:rsid w:val="00831818"/>
    <w:rsid w:val="00832710"/>
    <w:rsid w:val="00840293"/>
    <w:rsid w:val="00845846"/>
    <w:rsid w:val="008474CD"/>
    <w:rsid w:val="008635C3"/>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757C"/>
    <w:rsid w:val="00933D02"/>
    <w:rsid w:val="0095102E"/>
    <w:rsid w:val="0095148D"/>
    <w:rsid w:val="00956CE1"/>
    <w:rsid w:val="00961983"/>
    <w:rsid w:val="009643EB"/>
    <w:rsid w:val="00964777"/>
    <w:rsid w:val="00971B78"/>
    <w:rsid w:val="0097368B"/>
    <w:rsid w:val="009778CC"/>
    <w:rsid w:val="00983DED"/>
    <w:rsid w:val="009865C4"/>
    <w:rsid w:val="009A2DE5"/>
    <w:rsid w:val="009B56F9"/>
    <w:rsid w:val="009B5B18"/>
    <w:rsid w:val="009C2121"/>
    <w:rsid w:val="009D13AE"/>
    <w:rsid w:val="009E41F8"/>
    <w:rsid w:val="009E423B"/>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80D3D"/>
    <w:rsid w:val="00A81D2C"/>
    <w:rsid w:val="00A947D9"/>
    <w:rsid w:val="00AB080D"/>
    <w:rsid w:val="00AB4CD5"/>
    <w:rsid w:val="00AC0AC7"/>
    <w:rsid w:val="00AC1756"/>
    <w:rsid w:val="00AC6A98"/>
    <w:rsid w:val="00AD56FA"/>
    <w:rsid w:val="00AE0BCA"/>
    <w:rsid w:val="00AF5808"/>
    <w:rsid w:val="00AF5B54"/>
    <w:rsid w:val="00AF613A"/>
    <w:rsid w:val="00AF6B32"/>
    <w:rsid w:val="00B02624"/>
    <w:rsid w:val="00B05AE5"/>
    <w:rsid w:val="00B33379"/>
    <w:rsid w:val="00B351CA"/>
    <w:rsid w:val="00B42DDB"/>
    <w:rsid w:val="00B43B48"/>
    <w:rsid w:val="00B51C51"/>
    <w:rsid w:val="00B67F35"/>
    <w:rsid w:val="00B712D5"/>
    <w:rsid w:val="00B74DAC"/>
    <w:rsid w:val="00B76096"/>
    <w:rsid w:val="00B85A1B"/>
    <w:rsid w:val="00B943F0"/>
    <w:rsid w:val="00BA6FAC"/>
    <w:rsid w:val="00BA750F"/>
    <w:rsid w:val="00BA761B"/>
    <w:rsid w:val="00BB67CF"/>
    <w:rsid w:val="00BC2C84"/>
    <w:rsid w:val="00BC4B5A"/>
    <w:rsid w:val="00BD18F0"/>
    <w:rsid w:val="00BD2BBB"/>
    <w:rsid w:val="00C028A4"/>
    <w:rsid w:val="00C030E9"/>
    <w:rsid w:val="00C070F9"/>
    <w:rsid w:val="00C14237"/>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A2287"/>
    <w:rsid w:val="00DB1568"/>
    <w:rsid w:val="00DB1D85"/>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65984"/>
    <w:rsid w:val="00E72BA6"/>
    <w:rsid w:val="00E8278D"/>
    <w:rsid w:val="00E84890"/>
    <w:rsid w:val="00E8654F"/>
    <w:rsid w:val="00E86932"/>
    <w:rsid w:val="00E94C2E"/>
    <w:rsid w:val="00E9699A"/>
    <w:rsid w:val="00EA107B"/>
    <w:rsid w:val="00EA1913"/>
    <w:rsid w:val="00EB4FE9"/>
    <w:rsid w:val="00EB6676"/>
    <w:rsid w:val="00ED5FC7"/>
    <w:rsid w:val="00EE0A6D"/>
    <w:rsid w:val="00EE0F8A"/>
    <w:rsid w:val="00F00499"/>
    <w:rsid w:val="00F00F40"/>
    <w:rsid w:val="00F10AE8"/>
    <w:rsid w:val="00F1313D"/>
    <w:rsid w:val="00F133BD"/>
    <w:rsid w:val="00F14855"/>
    <w:rsid w:val="00F21E77"/>
    <w:rsid w:val="00F22EA0"/>
    <w:rsid w:val="00F27082"/>
    <w:rsid w:val="00F40FC9"/>
    <w:rsid w:val="00F4178D"/>
    <w:rsid w:val="00F43EA8"/>
    <w:rsid w:val="00F46090"/>
    <w:rsid w:val="00F62431"/>
    <w:rsid w:val="00F80043"/>
    <w:rsid w:val="00F85366"/>
    <w:rsid w:val="00F8784C"/>
    <w:rsid w:val="00F9352C"/>
    <w:rsid w:val="00FA0750"/>
    <w:rsid w:val="00FA0EA2"/>
    <w:rsid w:val="00FA21A8"/>
    <w:rsid w:val="00FA5790"/>
    <w:rsid w:val="00FB511A"/>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nic-world.de/directory/cameo-h1-series" TargetMode="External"/><Relationship Id="rId13" Type="http://schemas.openxmlformats.org/officeDocument/2006/relationships/hyperlink" Target="mailto:press@adamhall.com" TargetMode="External"/><Relationship Id="rId3" Type="http://schemas.openxmlformats.org/officeDocument/2006/relationships/settings" Target="settings.xml"/><Relationship Id="rId7" Type="http://schemas.openxmlformats.org/officeDocument/2006/relationships/hyperlink" Target="https://www.german-design-award.com/" TargetMode="External"/><Relationship Id="rId12" Type="http://schemas.openxmlformats.org/officeDocument/2006/relationships/hyperlink" Target="http://www.adamhall.com/"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vent.tech/"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adamhall.com/fr-fr" TargetMode="External"/><Relationship Id="rId4" Type="http://schemas.openxmlformats.org/officeDocument/2006/relationships/webSettings" Target="webSettings.xml"/><Relationship Id="rId9" Type="http://schemas.openxmlformats.org/officeDocument/2006/relationships/hyperlink" Target="https://www.cameolight.com/fr/"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946</Words>
  <Characters>5544</Characters>
  <Application>Microsoft Office Word</Application>
  <DocSecurity>0</DocSecurity>
  <Lines>46</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10</cp:revision>
  <cp:lastPrinted>2019-01-10T17:28:00Z</cp:lastPrinted>
  <dcterms:created xsi:type="dcterms:W3CDTF">2022-02-18T13:36:00Z</dcterms:created>
  <dcterms:modified xsi:type="dcterms:W3CDTF">2022-02-28T15:14:00Z</dcterms:modified>
</cp:coreProperties>
</file>