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C04F" w14:textId="77777777" w:rsidR="00122C0A" w:rsidRPr="00146D02" w:rsidRDefault="00122C0A" w:rsidP="00122C0A">
      <w:pPr>
        <w:rPr>
          <w:rFonts w:asciiTheme="minorHAnsi" w:hAnsiTheme="minorHAnsi" w:cstheme="minorHAnsi"/>
          <w:sz w:val="44"/>
          <w:szCs w:val="44"/>
          <w:lang w:val="it-IT"/>
        </w:rPr>
      </w:pPr>
      <w:r w:rsidRPr="00146D02">
        <w:rPr>
          <w:rFonts w:asciiTheme="minorHAnsi" w:hAnsiTheme="minorHAnsi" w:cstheme="minorHAnsi"/>
          <w:sz w:val="44"/>
          <w:szCs w:val="44"/>
          <w:lang w:val="it-IT"/>
        </w:rPr>
        <w:t>Comunicato stampa</w:t>
      </w:r>
    </w:p>
    <w:p w14:paraId="07EB8AD8" w14:textId="77777777" w:rsidR="00122C0A" w:rsidRPr="00146D02" w:rsidRDefault="00122C0A" w:rsidP="00122C0A">
      <w:pPr>
        <w:rPr>
          <w:rFonts w:asciiTheme="minorHAnsi" w:hAnsiTheme="minorHAnsi" w:cstheme="minorHAnsi"/>
          <w:sz w:val="44"/>
          <w:szCs w:val="44"/>
          <w:lang w:val="it-IT"/>
        </w:rPr>
      </w:pPr>
    </w:p>
    <w:p w14:paraId="723A2269" w14:textId="77777777" w:rsidR="00122C0A" w:rsidRPr="00146D02" w:rsidRDefault="00122C0A" w:rsidP="00122C0A">
      <w:pPr>
        <w:rPr>
          <w:rFonts w:asciiTheme="minorHAnsi" w:hAnsiTheme="minorHAnsi" w:cstheme="minorHAnsi"/>
          <w:sz w:val="44"/>
          <w:szCs w:val="44"/>
          <w:lang w:val="it-IT"/>
        </w:rPr>
      </w:pPr>
    </w:p>
    <w:p w14:paraId="3B46FAD9" w14:textId="77777777" w:rsidR="00122C0A" w:rsidRPr="00146D02" w:rsidRDefault="00122C0A" w:rsidP="00122C0A">
      <w:pPr>
        <w:rPr>
          <w:rFonts w:asciiTheme="minorHAnsi" w:hAnsiTheme="minorHAnsi" w:cstheme="minorHAnsi"/>
          <w:b/>
          <w:bCs/>
          <w:sz w:val="44"/>
          <w:szCs w:val="44"/>
          <w:lang w:val="it-IT"/>
        </w:rPr>
      </w:pPr>
      <w:r w:rsidRPr="00146D02">
        <w:rPr>
          <w:rFonts w:asciiTheme="minorHAnsi" w:hAnsiTheme="minorHAnsi" w:cstheme="minorHAnsi"/>
          <w:b/>
          <w:bCs/>
          <w:sz w:val="44"/>
          <w:szCs w:val="44"/>
          <w:lang w:val="it-IT"/>
        </w:rPr>
        <w:t>Cameo presenta la Serie S:</w:t>
      </w:r>
    </w:p>
    <w:p w14:paraId="091FFD63" w14:textId="375E40ED" w:rsidR="00713862" w:rsidRPr="00146D02" w:rsidRDefault="00146D02" w:rsidP="00122C0A">
      <w:pPr>
        <w:rPr>
          <w:rFonts w:asciiTheme="minorHAnsi" w:hAnsiTheme="minorHAnsi" w:cstheme="minorHAnsi"/>
          <w:b/>
          <w:bCs/>
          <w:sz w:val="44"/>
          <w:szCs w:val="44"/>
          <w:lang w:val="it-IT"/>
        </w:rPr>
      </w:pPr>
      <w:r>
        <w:rPr>
          <w:rFonts w:asciiTheme="minorHAnsi" w:hAnsiTheme="minorHAnsi" w:cstheme="minorHAnsi"/>
          <w:b/>
          <w:bCs/>
          <w:sz w:val="44"/>
          <w:szCs w:val="44"/>
          <w:lang w:val="it-IT"/>
        </w:rPr>
        <w:t>Soft panel</w:t>
      </w:r>
      <w:r w:rsidR="00122C0A" w:rsidRPr="00146D02">
        <w:rPr>
          <w:rFonts w:asciiTheme="minorHAnsi" w:hAnsiTheme="minorHAnsi" w:cstheme="minorHAnsi"/>
          <w:b/>
          <w:bCs/>
          <w:sz w:val="44"/>
          <w:szCs w:val="44"/>
          <w:lang w:val="it-IT"/>
        </w:rPr>
        <w:t xml:space="preserve"> a LED con IP65 per uso esterno</w:t>
      </w:r>
    </w:p>
    <w:p w14:paraId="64FA38EC" w14:textId="77777777" w:rsidR="00122C0A" w:rsidRPr="00146D02" w:rsidRDefault="00122C0A" w:rsidP="00122C0A">
      <w:pPr>
        <w:rPr>
          <w:rFonts w:asciiTheme="minorHAnsi" w:hAnsiTheme="minorHAnsi" w:cstheme="minorHAnsi"/>
          <w:b/>
          <w:bCs/>
          <w:sz w:val="22"/>
          <w:szCs w:val="22"/>
          <w:lang w:val="it-IT"/>
        </w:rPr>
      </w:pPr>
    </w:p>
    <w:p w14:paraId="736CC7EC" w14:textId="44297AB5" w:rsidR="00122C0A" w:rsidRPr="00146D02" w:rsidRDefault="00441B79" w:rsidP="00122C0A">
      <w:pPr>
        <w:rPr>
          <w:rFonts w:asciiTheme="minorHAnsi" w:hAnsiTheme="minorHAnsi" w:cstheme="minorHAnsi"/>
          <w:b/>
          <w:bCs/>
          <w:sz w:val="22"/>
          <w:szCs w:val="22"/>
          <w:lang w:val="it-IT"/>
        </w:rPr>
      </w:pPr>
      <w:r w:rsidRPr="00146D02">
        <w:rPr>
          <w:rFonts w:asciiTheme="minorHAnsi" w:hAnsiTheme="minorHAnsi" w:cstheme="minorHAnsi"/>
          <w:b/>
          <w:bCs/>
          <w:sz w:val="22"/>
          <w:szCs w:val="22"/>
          <w:lang w:val="it-IT"/>
        </w:rPr>
        <w:t xml:space="preserve">Neu-Anspach, Germania - 19 ottobre 2022 </w:t>
      </w:r>
      <w:r w:rsidR="00122C0A" w:rsidRPr="00146D02">
        <w:rPr>
          <w:rFonts w:asciiTheme="minorHAnsi" w:hAnsiTheme="minorHAnsi" w:cstheme="minorHAnsi"/>
          <w:b/>
          <w:bCs/>
          <w:sz w:val="22"/>
          <w:szCs w:val="22"/>
          <w:lang w:val="it-IT"/>
        </w:rPr>
        <w:t>- Con la nuova Serie S, Cameo amplia il proprio portafoglio prodotti con</w:t>
      </w:r>
      <w:r w:rsidR="00146D02">
        <w:rPr>
          <w:rFonts w:asciiTheme="minorHAnsi" w:hAnsiTheme="minorHAnsi" w:cstheme="minorHAnsi"/>
          <w:b/>
          <w:bCs/>
          <w:sz w:val="22"/>
          <w:szCs w:val="22"/>
          <w:lang w:val="it-IT"/>
        </w:rPr>
        <w:t xml:space="preserve"> i Soft</w:t>
      </w:r>
      <w:r w:rsidR="00122C0A" w:rsidRPr="00146D02">
        <w:rPr>
          <w:rFonts w:asciiTheme="minorHAnsi" w:hAnsiTheme="minorHAnsi" w:cstheme="minorHAnsi"/>
          <w:b/>
          <w:bCs/>
          <w:sz w:val="22"/>
          <w:szCs w:val="22"/>
          <w:lang w:val="it-IT"/>
        </w:rPr>
        <w:t xml:space="preserve"> pa</w:t>
      </w:r>
      <w:r w:rsidR="00146D02">
        <w:rPr>
          <w:rFonts w:asciiTheme="minorHAnsi" w:hAnsiTheme="minorHAnsi" w:cstheme="minorHAnsi"/>
          <w:b/>
          <w:bCs/>
          <w:sz w:val="22"/>
          <w:szCs w:val="22"/>
          <w:lang w:val="it-IT"/>
        </w:rPr>
        <w:t>nel a</w:t>
      </w:r>
      <w:r w:rsidR="00122C0A" w:rsidRPr="00146D02">
        <w:rPr>
          <w:rFonts w:asciiTheme="minorHAnsi" w:hAnsiTheme="minorHAnsi" w:cstheme="minorHAnsi"/>
          <w:b/>
          <w:bCs/>
          <w:sz w:val="22"/>
          <w:szCs w:val="22"/>
          <w:lang w:val="it-IT"/>
        </w:rPr>
        <w:t xml:space="preserve"> LED certificati IP65 per l'uso in esterni nei settori TV/film, eventi, livestream e altro. Il punto di partenza è il modello S4 IP che, grazie all'eccellente resa cromatica, mette in risalto persone e oggetti con una luce naturale e diffusa. In combinazione con l'ampia gamma di accessori disponibili fin dal lancio sul mercato, la serie Cameo S si rivolge a tecnici della luce, illuminatori e produttori di contenuti alla ricerca di softlight professionali versatili con sofisticate opzioni di gestione e controllo.</w:t>
      </w:r>
    </w:p>
    <w:p w14:paraId="2F3EAB56" w14:textId="77777777" w:rsidR="00122C0A" w:rsidRPr="00146D02" w:rsidRDefault="00122C0A" w:rsidP="00122C0A">
      <w:pPr>
        <w:rPr>
          <w:rFonts w:asciiTheme="minorHAnsi" w:hAnsiTheme="minorHAnsi" w:cstheme="minorHAnsi"/>
          <w:sz w:val="22"/>
          <w:szCs w:val="22"/>
          <w:lang w:val="it-IT"/>
        </w:rPr>
      </w:pPr>
    </w:p>
    <w:p w14:paraId="123FCCCD" w14:textId="6FD3B52E" w:rsidR="00122C0A" w:rsidRPr="00146D02" w:rsidRDefault="00122C0A" w:rsidP="00122C0A">
      <w:pPr>
        <w:rPr>
          <w:rFonts w:asciiTheme="minorHAnsi" w:hAnsiTheme="minorHAnsi" w:cstheme="minorHAnsi"/>
          <w:sz w:val="22"/>
          <w:szCs w:val="22"/>
          <w:lang w:val="it-IT"/>
        </w:rPr>
      </w:pPr>
      <w:r w:rsidRPr="00146D02">
        <w:rPr>
          <w:rFonts w:asciiTheme="minorHAnsi" w:hAnsiTheme="minorHAnsi" w:cstheme="minorHAnsi"/>
          <w:sz w:val="22"/>
          <w:szCs w:val="22"/>
          <w:lang w:val="it-IT"/>
        </w:rPr>
        <w:t>Il compatto S4 IP si basa su 544 LED SMD singoli per colore (RGBWW) disposti in un cluster di quattro. In combinazione con il chip di calibrazione integrato, l'S4 IP ha una resa cromatica estremamente naturale (CRI 95, TLCI 91) e un'eccezionale copertura dell'85% dello spazio colore Rec. 2020. Inoltre, la temperatura di colore regolabile, con un'ampia gamma da 1.800 a 10.000</w:t>
      </w:r>
      <w:r w:rsidR="00146D02">
        <w:rPr>
          <w:rFonts w:asciiTheme="minorHAnsi" w:hAnsiTheme="minorHAnsi" w:cstheme="minorHAnsi"/>
          <w:sz w:val="22"/>
          <w:szCs w:val="22"/>
          <w:lang w:val="it-IT"/>
        </w:rPr>
        <w:t xml:space="preserve"> gradi</w:t>
      </w:r>
      <w:r w:rsidRPr="00146D02">
        <w:rPr>
          <w:rFonts w:asciiTheme="minorHAnsi" w:hAnsiTheme="minorHAnsi" w:cstheme="minorHAnsi"/>
          <w:sz w:val="22"/>
          <w:szCs w:val="22"/>
          <w:lang w:val="it-IT"/>
        </w:rPr>
        <w:t xml:space="preserve"> Kelvin, consente l'utilizzo in tutti gli ambienti.</w:t>
      </w:r>
    </w:p>
    <w:p w14:paraId="34A07DAF" w14:textId="77777777" w:rsidR="00122C0A" w:rsidRPr="00146D02" w:rsidRDefault="00122C0A" w:rsidP="00122C0A">
      <w:pPr>
        <w:rPr>
          <w:rFonts w:asciiTheme="minorHAnsi" w:hAnsiTheme="minorHAnsi" w:cstheme="minorHAnsi"/>
          <w:sz w:val="22"/>
          <w:szCs w:val="22"/>
          <w:lang w:val="it-IT"/>
        </w:rPr>
      </w:pPr>
    </w:p>
    <w:p w14:paraId="0C0278AC" w14:textId="6FCF6560" w:rsidR="00122C0A" w:rsidRPr="00146D02" w:rsidRDefault="00122C0A" w:rsidP="00122C0A">
      <w:pPr>
        <w:rPr>
          <w:rFonts w:asciiTheme="minorHAnsi" w:hAnsiTheme="minorHAnsi" w:cstheme="minorHAnsi"/>
          <w:sz w:val="22"/>
          <w:szCs w:val="22"/>
          <w:lang w:val="it-IT"/>
        </w:rPr>
      </w:pPr>
      <w:r w:rsidRPr="00146D02">
        <w:rPr>
          <w:rFonts w:asciiTheme="minorHAnsi" w:hAnsiTheme="minorHAnsi" w:cstheme="minorHAnsi"/>
          <w:sz w:val="22"/>
          <w:szCs w:val="22"/>
          <w:lang w:val="it-IT"/>
        </w:rPr>
        <w:t xml:space="preserve">Nello sviluppo della nuova Serie S, Cameo ha dato la massima importanza al concetto di alloggiamento e alla maneggevolezza. Le maniglie fisse sui lati garantiscono un trasporto sicuro e confortevole e consentono di allineare rapidamente i pannelli alle persone e agli oggetti sul set. Conformemente alla certificazione IP65 del modello S4 IP, il </w:t>
      </w:r>
      <w:r w:rsidR="00146D02">
        <w:rPr>
          <w:rFonts w:asciiTheme="minorHAnsi" w:hAnsiTheme="minorHAnsi" w:cstheme="minorHAnsi"/>
          <w:sz w:val="22"/>
          <w:szCs w:val="22"/>
          <w:lang w:val="it-IT"/>
        </w:rPr>
        <w:t>soft panel</w:t>
      </w:r>
      <w:r w:rsidRPr="00146D02">
        <w:rPr>
          <w:rFonts w:asciiTheme="minorHAnsi" w:hAnsiTheme="minorHAnsi" w:cstheme="minorHAnsi"/>
          <w:sz w:val="22"/>
          <w:szCs w:val="22"/>
          <w:lang w:val="it-IT"/>
        </w:rPr>
        <w:t xml:space="preserve"> è dotato di connettori powerCON TRUE1 impermeabili e bloccabili. Può essere controllato tramite DMX, W-DMX, ArtNet, sACN o RDM. Il funzionamento avviene sull'unità stessa o tramite EZRemote, utilizzando il controller UNICON DMX/RDM opzionale.</w:t>
      </w:r>
    </w:p>
    <w:p w14:paraId="55DC06A5" w14:textId="77777777" w:rsidR="00122C0A" w:rsidRPr="00146D02" w:rsidRDefault="00122C0A" w:rsidP="00122C0A">
      <w:pPr>
        <w:rPr>
          <w:rFonts w:asciiTheme="minorHAnsi" w:hAnsiTheme="minorHAnsi" w:cstheme="minorHAnsi"/>
          <w:sz w:val="22"/>
          <w:szCs w:val="22"/>
          <w:lang w:val="it-IT"/>
        </w:rPr>
      </w:pPr>
    </w:p>
    <w:p w14:paraId="74F7CF90" w14:textId="0F4D5757" w:rsidR="00122C0A" w:rsidRPr="00146D02" w:rsidRDefault="00122C0A" w:rsidP="00122C0A">
      <w:pPr>
        <w:rPr>
          <w:rFonts w:asciiTheme="minorHAnsi" w:hAnsiTheme="minorHAnsi" w:cstheme="minorHAnsi"/>
          <w:sz w:val="22"/>
          <w:szCs w:val="22"/>
          <w:lang w:val="it-IT"/>
        </w:rPr>
      </w:pPr>
      <w:r w:rsidRPr="00146D02">
        <w:rPr>
          <w:rFonts w:asciiTheme="minorHAnsi" w:hAnsiTheme="minorHAnsi" w:cstheme="minorHAnsi"/>
          <w:sz w:val="22"/>
          <w:szCs w:val="22"/>
          <w:lang w:val="it-IT"/>
        </w:rPr>
        <w:t>I soft</w:t>
      </w:r>
      <w:r w:rsidR="00146D02">
        <w:rPr>
          <w:rFonts w:asciiTheme="minorHAnsi" w:hAnsiTheme="minorHAnsi" w:cstheme="minorHAnsi"/>
          <w:sz w:val="22"/>
          <w:szCs w:val="22"/>
          <w:lang w:val="it-IT"/>
        </w:rPr>
        <w:t xml:space="preserve"> panel</w:t>
      </w:r>
      <w:r w:rsidRPr="00146D02">
        <w:rPr>
          <w:rFonts w:asciiTheme="minorHAnsi" w:hAnsiTheme="minorHAnsi" w:cstheme="minorHAnsi"/>
          <w:sz w:val="22"/>
          <w:szCs w:val="22"/>
          <w:lang w:val="it-IT"/>
        </w:rPr>
        <w:t>, in quanto apparecchi di illuminazione tuttofare, vengono utilizzati in un'ampia varietà di ambienti, sia all'interno che all'esterno. Per rendere l'S4 IP il compagno ideale e flessibile in ogni situazione, Cameo non ha rinunciato alle opzioni accessorie. Oltre alla staffa Omega in dotazione e al diffusore standard, la gamma spazia dagli Honey Combs, con angoli di emissione di 30° e 60°, agli Intensificatori e ai Diffusori, a</w:t>
      </w:r>
      <w:r w:rsidR="00732A75">
        <w:rPr>
          <w:rFonts w:asciiTheme="minorHAnsi" w:hAnsiTheme="minorHAnsi" w:cstheme="minorHAnsi"/>
          <w:sz w:val="22"/>
          <w:szCs w:val="22"/>
          <w:lang w:val="it-IT"/>
        </w:rPr>
        <w:t>lle alette paraluce</w:t>
      </w:r>
      <w:r w:rsidRPr="00146D02">
        <w:rPr>
          <w:rFonts w:asciiTheme="minorHAnsi" w:hAnsiTheme="minorHAnsi" w:cstheme="minorHAnsi"/>
          <w:sz w:val="22"/>
          <w:szCs w:val="22"/>
          <w:lang w:val="it-IT"/>
        </w:rPr>
        <w:t>, alla forcella per montaggio centrale o all'adattatore V-Mount per il funzionamento a batteri</w:t>
      </w:r>
      <w:r w:rsidR="00732A75">
        <w:rPr>
          <w:rFonts w:asciiTheme="minorHAnsi" w:hAnsiTheme="minorHAnsi" w:cstheme="minorHAnsi"/>
          <w:sz w:val="22"/>
          <w:szCs w:val="22"/>
          <w:lang w:val="it-IT"/>
        </w:rPr>
        <w:t>e</w:t>
      </w:r>
      <w:r w:rsidRPr="00146D02">
        <w:rPr>
          <w:rFonts w:asciiTheme="minorHAnsi" w:hAnsiTheme="minorHAnsi" w:cstheme="minorHAnsi"/>
          <w:sz w:val="22"/>
          <w:szCs w:val="22"/>
          <w:lang w:val="it-IT"/>
        </w:rPr>
        <w:t>. Inoltre, il filtro scuro opzionale garantisce un'integrazione discreta in qualsiasi scenario.</w:t>
      </w:r>
    </w:p>
    <w:p w14:paraId="61E2CF88" w14:textId="77777777" w:rsidR="00122C0A" w:rsidRPr="00146D02" w:rsidRDefault="00122C0A" w:rsidP="00122C0A">
      <w:pPr>
        <w:rPr>
          <w:rFonts w:asciiTheme="minorHAnsi" w:hAnsiTheme="minorHAnsi" w:cstheme="minorHAnsi"/>
          <w:sz w:val="22"/>
          <w:szCs w:val="22"/>
          <w:lang w:val="it-IT"/>
        </w:rPr>
      </w:pPr>
    </w:p>
    <w:p w14:paraId="554076F0" w14:textId="77777777" w:rsidR="00122C0A" w:rsidRPr="00146D02" w:rsidRDefault="00122C0A" w:rsidP="00122C0A">
      <w:pPr>
        <w:rPr>
          <w:rFonts w:asciiTheme="minorHAnsi" w:hAnsiTheme="minorHAnsi" w:cstheme="minorHAnsi"/>
          <w:b/>
          <w:bCs/>
          <w:sz w:val="22"/>
          <w:szCs w:val="22"/>
          <w:lang w:val="it-IT"/>
        </w:rPr>
      </w:pPr>
    </w:p>
    <w:p w14:paraId="251FA98F" w14:textId="77777777" w:rsidR="00122C0A" w:rsidRPr="00146D02" w:rsidRDefault="00122C0A" w:rsidP="00122C0A">
      <w:pPr>
        <w:rPr>
          <w:rFonts w:asciiTheme="minorHAnsi" w:hAnsiTheme="minorHAnsi" w:cstheme="minorHAnsi"/>
          <w:b/>
          <w:bCs/>
          <w:sz w:val="22"/>
          <w:szCs w:val="22"/>
          <w:lang w:val="it-IT"/>
        </w:rPr>
      </w:pPr>
    </w:p>
    <w:p w14:paraId="4AB89AA8" w14:textId="77777777" w:rsidR="00122C0A" w:rsidRPr="00122C0A" w:rsidRDefault="00122C0A" w:rsidP="00122C0A">
      <w:pPr>
        <w:rPr>
          <w:rFonts w:asciiTheme="minorHAnsi" w:hAnsiTheme="minorHAnsi" w:cstheme="minorHAnsi"/>
          <w:b/>
          <w:bCs/>
          <w:sz w:val="22"/>
          <w:szCs w:val="22"/>
          <w:lang w:val="en-GB"/>
        </w:rPr>
      </w:pPr>
      <w:r w:rsidRPr="00122C0A">
        <w:rPr>
          <w:rFonts w:asciiTheme="minorHAnsi" w:hAnsiTheme="minorHAnsi" w:cstheme="minorHAnsi"/>
          <w:b/>
          <w:bCs/>
          <w:sz w:val="22"/>
          <w:szCs w:val="22"/>
          <w:lang w:val="en-GB"/>
        </w:rPr>
        <w:t>#Cameo #ForLumenBeings #ProLighting #EventTech #ExperienceEventTechnology</w:t>
      </w:r>
    </w:p>
    <w:p w14:paraId="2711F25A" w14:textId="77777777" w:rsidR="00122C0A" w:rsidRPr="00122C0A" w:rsidRDefault="00122C0A" w:rsidP="00122C0A">
      <w:pPr>
        <w:rPr>
          <w:rFonts w:asciiTheme="minorHAnsi" w:hAnsiTheme="minorHAnsi" w:cstheme="minorHAnsi"/>
          <w:b/>
          <w:bCs/>
          <w:sz w:val="22"/>
          <w:szCs w:val="22"/>
          <w:lang w:val="en-GB"/>
        </w:rPr>
      </w:pPr>
    </w:p>
    <w:p w14:paraId="18D30E78" w14:textId="77777777" w:rsidR="00122C0A" w:rsidRDefault="00122C0A" w:rsidP="00122C0A">
      <w:pPr>
        <w:rPr>
          <w:rFonts w:asciiTheme="minorHAnsi" w:hAnsiTheme="minorHAnsi" w:cstheme="minorHAnsi"/>
          <w:b/>
          <w:bCs/>
          <w:sz w:val="22"/>
          <w:szCs w:val="22"/>
          <w:lang w:val="en-GB"/>
        </w:rPr>
      </w:pPr>
      <w:r w:rsidRPr="00122C0A">
        <w:rPr>
          <w:rFonts w:asciiTheme="minorHAnsi" w:hAnsiTheme="minorHAnsi" w:cstheme="minorHAnsi"/>
          <w:b/>
          <w:bCs/>
          <w:sz w:val="22"/>
          <w:szCs w:val="22"/>
          <w:lang w:val="en-GB"/>
        </w:rPr>
        <w:t xml:space="preserve">Ulteriori informazioni: </w:t>
      </w:r>
    </w:p>
    <w:p w14:paraId="69E1E3FD" w14:textId="57209A7A" w:rsidR="004F3D40" w:rsidRPr="00CE1C7E" w:rsidRDefault="003E561E" w:rsidP="00122C0A">
      <w:pPr>
        <w:rPr>
          <w:rStyle w:val="Collegamentoipertestuale"/>
          <w:rFonts w:asciiTheme="minorHAnsi" w:eastAsia="Arial" w:hAnsiTheme="minorHAnsi" w:cstheme="minorHAnsi"/>
          <w:sz w:val="22"/>
          <w:szCs w:val="22"/>
          <w:lang w:val="en-GB"/>
        </w:rPr>
      </w:pPr>
      <w:hyperlink r:id="rId7" w:history="1">
        <w:r w:rsidR="00B66CBC" w:rsidRPr="00CE1C7E">
          <w:rPr>
            <w:rStyle w:val="Collegamentoipertestuale"/>
            <w:rFonts w:asciiTheme="minorHAnsi" w:hAnsiTheme="minorHAnsi" w:cstheme="minorHAnsi"/>
            <w:sz w:val="22"/>
            <w:szCs w:val="22"/>
            <w:lang w:val="en-GB"/>
          </w:rPr>
          <w:t>cameolight.com/</w:t>
        </w:r>
        <w:r w:rsidR="007E1869" w:rsidRPr="00CE1C7E">
          <w:rPr>
            <w:rStyle w:val="Collegamentoipertestuale"/>
            <w:rFonts w:asciiTheme="minorHAnsi" w:hAnsiTheme="minorHAnsi" w:cstheme="minorHAnsi"/>
            <w:sz w:val="22"/>
            <w:szCs w:val="22"/>
            <w:lang w:val="en-GB"/>
          </w:rPr>
          <w:t>s-serie</w:t>
        </w:r>
      </w:hyperlink>
    </w:p>
    <w:p w14:paraId="579C3CBA" w14:textId="77777777" w:rsidR="004F3D40" w:rsidRPr="00CE1C7E" w:rsidRDefault="004F3D40" w:rsidP="00E05A29">
      <w:pPr>
        <w:rPr>
          <w:rFonts w:asciiTheme="minorHAnsi" w:hAnsiTheme="minorHAnsi" w:cstheme="minorHAnsi"/>
          <w:b/>
          <w:sz w:val="22"/>
          <w:szCs w:val="22"/>
          <w:lang w:val="en-GB"/>
        </w:rPr>
      </w:pPr>
    </w:p>
    <w:p w14:paraId="00077636" w14:textId="724EFFBE" w:rsidR="004F3D40" w:rsidRPr="00CE1C7E" w:rsidRDefault="003E561E" w:rsidP="004F3D40">
      <w:pPr>
        <w:rPr>
          <w:rStyle w:val="Collegamentoipertestuale"/>
          <w:rFonts w:asciiTheme="minorHAnsi" w:eastAsia="Arial" w:hAnsiTheme="minorHAnsi" w:cstheme="minorHAnsi"/>
          <w:color w:val="auto"/>
          <w:sz w:val="22"/>
          <w:szCs w:val="22"/>
          <w:u w:val="none"/>
          <w:lang w:val="en-GB"/>
        </w:rPr>
      </w:pPr>
      <w:hyperlink r:id="rId8" w:history="1">
        <w:r w:rsidR="004F3D40" w:rsidRPr="00CE1C7E">
          <w:rPr>
            <w:rStyle w:val="Collegamentoipertestuale"/>
            <w:rFonts w:asciiTheme="minorHAnsi" w:hAnsiTheme="minorHAnsi" w:cstheme="minorHAnsi"/>
            <w:sz w:val="22"/>
            <w:szCs w:val="22"/>
            <w:lang w:val="en-GB"/>
          </w:rPr>
          <w:t>adamhall.com</w:t>
        </w:r>
      </w:hyperlink>
      <w:r w:rsidR="004F3D40" w:rsidRPr="00CE1C7E">
        <w:rPr>
          <w:rFonts w:asciiTheme="minorHAnsi" w:hAnsiTheme="minorHAnsi" w:cstheme="minorHAnsi"/>
          <w:sz w:val="22"/>
          <w:szCs w:val="22"/>
          <w:u w:val="single"/>
          <w:lang w:val="en-GB"/>
        </w:rPr>
        <w:br/>
      </w:r>
      <w:hyperlink r:id="rId9" w:history="1">
        <w:r w:rsidR="007E1869" w:rsidRPr="00CE1C7E">
          <w:rPr>
            <w:rStyle w:val="Collegamentoipertestuale"/>
            <w:rFonts w:asciiTheme="minorHAnsi" w:eastAsia="Arial" w:hAnsiTheme="minorHAnsi" w:cstheme="minorHAnsi"/>
            <w:sz w:val="22"/>
            <w:szCs w:val="22"/>
            <w:lang w:val="en-GB"/>
          </w:rPr>
          <w:t>blog.adamhall.com</w:t>
        </w:r>
      </w:hyperlink>
    </w:p>
    <w:p w14:paraId="56D13903" w14:textId="77777777" w:rsidR="007E1869" w:rsidRPr="00CE1C7E" w:rsidRDefault="007E1869" w:rsidP="004F3D40">
      <w:pPr>
        <w:rPr>
          <w:rStyle w:val="Collegamentoipertestuale"/>
          <w:rFonts w:asciiTheme="minorHAnsi" w:eastAsia="Arial" w:hAnsiTheme="minorHAnsi" w:cstheme="minorHAnsi"/>
          <w:b/>
          <w:bCs/>
          <w:color w:val="auto"/>
          <w:sz w:val="22"/>
          <w:szCs w:val="22"/>
          <w:u w:val="none"/>
          <w:lang w:val="en-GB"/>
        </w:rPr>
      </w:pPr>
    </w:p>
    <w:p w14:paraId="2BB1391F" w14:textId="77777777" w:rsidR="00780A4D" w:rsidRPr="00CE1C7E" w:rsidRDefault="00780A4D" w:rsidP="00E05A29">
      <w:pPr>
        <w:rPr>
          <w:rStyle w:val="Collegamentoipertestuale"/>
          <w:rFonts w:asciiTheme="minorHAnsi" w:eastAsia="Arial" w:hAnsiTheme="minorHAnsi" w:cstheme="minorHAnsi"/>
          <w:sz w:val="22"/>
          <w:szCs w:val="22"/>
          <w:lang w:val="en-GB"/>
        </w:rPr>
      </w:pPr>
    </w:p>
    <w:p w14:paraId="19BB79B7" w14:textId="77777777" w:rsidR="00951931" w:rsidRPr="00146D02" w:rsidRDefault="00951931" w:rsidP="00951931">
      <w:pPr>
        <w:rPr>
          <w:rFonts w:asciiTheme="minorHAnsi" w:eastAsia="Tahoma" w:hAnsiTheme="minorHAnsi" w:cstheme="minorHAnsi"/>
          <w:b/>
          <w:color w:val="808080"/>
          <w:kern w:val="1"/>
          <w:sz w:val="18"/>
          <w:szCs w:val="18"/>
          <w:lang w:val="it-IT"/>
        </w:rPr>
      </w:pPr>
      <w:r w:rsidRPr="00146D02">
        <w:rPr>
          <w:rFonts w:asciiTheme="minorHAnsi" w:eastAsia="Tahoma" w:hAnsiTheme="minorHAnsi" w:cstheme="minorHAnsi"/>
          <w:b/>
          <w:color w:val="808080"/>
          <w:kern w:val="1"/>
          <w:sz w:val="18"/>
          <w:szCs w:val="18"/>
          <w:lang w:val="it-IT"/>
        </w:rPr>
        <w:t>Informazioni sul Gruppo Adam Hall</w:t>
      </w:r>
    </w:p>
    <w:p w14:paraId="2C1AB14F" w14:textId="4839110F" w:rsidR="007159BB" w:rsidRPr="00146D02" w:rsidRDefault="00951931" w:rsidP="00951931">
      <w:pPr>
        <w:pStyle w:val="Nessunaspaziatura"/>
        <w:rPr>
          <w:rFonts w:asciiTheme="minorHAnsi" w:hAnsiTheme="minorHAnsi" w:cstheme="minorHAnsi"/>
          <w:color w:val="808080"/>
          <w:sz w:val="18"/>
          <w:szCs w:val="18"/>
          <w:lang w:val="it-IT"/>
        </w:rPr>
      </w:pPr>
      <w:r w:rsidRPr="00146D02">
        <w:rPr>
          <w:rFonts w:asciiTheme="minorHAnsi" w:hAnsiTheme="minorHAnsi" w:cstheme="minorHAnsi"/>
          <w:bCs/>
          <w:color w:val="808080"/>
          <w:sz w:val="18"/>
          <w:szCs w:val="18"/>
          <w:lang w:val="it-IT"/>
        </w:rPr>
        <w:t xml:space="preserve">Adam Hall Group è un produttore e distributore tedesco leader nella fornitura di soluzioni tecnologiche per eventi a partner commerciali in tutto il mondo. I gruppi target includono rivenditori, rivenditori B2B, società di noleggio ed eventi, studi di trasmissione, integratori AV e di sistemi, aziende private e pubbliche e produttori di flight case industriali. L'azienda offre un'ampia gamma di prodotti per l'audio professionale, l'illuminazione, le attrezzature di scena e i flight case con i marchi </w:t>
      </w:r>
      <w:r w:rsidRPr="00146D02">
        <w:rPr>
          <w:rFonts w:asciiTheme="minorHAnsi" w:hAnsiTheme="minorHAnsi" w:cstheme="minorHAnsi"/>
          <w:b/>
          <w:color w:val="808080"/>
          <w:sz w:val="18"/>
          <w:szCs w:val="18"/>
          <w:lang w:val="it-IT"/>
        </w:rPr>
        <w:t>LD Systems®, Cameo®, Gravity®, Defender®, Palmer® e Adam Hall</w:t>
      </w:r>
      <w:r w:rsidRPr="00146D02">
        <w:rPr>
          <w:rFonts w:asciiTheme="minorHAnsi" w:hAnsiTheme="minorHAnsi" w:cstheme="minorHAnsi"/>
          <w:bCs/>
          <w:color w:val="808080"/>
          <w:sz w:val="18"/>
          <w:szCs w:val="18"/>
          <w:lang w:val="it-IT"/>
        </w:rPr>
        <w:t>®. Fondato nel 1975, il Gruppo Adam Hall si è evoluto in un'azienda moderna e innovativa nel campo della tecnologia per eventi, con oltre 14.000 m² di spazio di magazzino nel Parco Logistico presso la sede centrale vicino a Francoforte sul Meno. Grazie alla sua attenzione alla creazione di valore e al servizio, il Gruppo Adam Hall ha già ricevuto una serie di premi internazionali per i suoi sviluppi innovativi e per il design lungimirante dei prodotti da parte di istituzioni rinomate come "Red Dot", "German Design Award" e "iF Industrie Forum Design". LD Systems®, in collaborazione con l'agenzia di design F. A. Porsche, mostra il futuro del design dell'audio professionale con la sua iconica colonna di diffusori MAUI® P900 e di conseguenza è stata recentemente premiata con l'ambito German Design Award. Ulteriori informazioni su Adam Hall Group sono disponibili online al seguente indirizzo</w:t>
      </w:r>
      <w:r w:rsidRPr="00146D02">
        <w:rPr>
          <w:rFonts w:asciiTheme="minorHAnsi" w:hAnsiTheme="minorHAnsi" w:cstheme="minorHAnsi"/>
          <w:b/>
          <w:color w:val="808080"/>
          <w:sz w:val="18"/>
          <w:szCs w:val="18"/>
          <w:lang w:val="it-IT"/>
        </w:rPr>
        <w:t xml:space="preserve"> </w:t>
      </w:r>
      <w:hyperlink r:id="rId10">
        <w:r w:rsidR="004330C6" w:rsidRPr="00146D02">
          <w:rPr>
            <w:rStyle w:val="Collegamentoipertestuale"/>
            <w:rFonts w:asciiTheme="minorHAnsi" w:hAnsiTheme="minorHAnsi" w:cstheme="minorHAnsi"/>
            <w:sz w:val="18"/>
            <w:szCs w:val="18"/>
            <w:u w:val="none"/>
            <w:lang w:val="it-IT"/>
          </w:rPr>
          <w:t>www.adamhall.com</w:t>
        </w:r>
      </w:hyperlink>
      <w:r w:rsidR="004330C6" w:rsidRPr="00146D02">
        <w:rPr>
          <w:rFonts w:asciiTheme="minorHAnsi" w:hAnsiTheme="minorHAnsi" w:cstheme="minorHAnsi"/>
          <w:color w:val="808080" w:themeColor="background1" w:themeShade="80"/>
          <w:sz w:val="18"/>
          <w:szCs w:val="18"/>
          <w:lang w:val="it-IT"/>
        </w:rPr>
        <w:t>.</w:t>
      </w:r>
    </w:p>
    <w:p w14:paraId="5300F5D9" w14:textId="77777777" w:rsidR="000C2D39" w:rsidRPr="00146D02" w:rsidRDefault="000C2D39" w:rsidP="0046543C">
      <w:pPr>
        <w:rPr>
          <w:rFonts w:asciiTheme="minorHAnsi" w:hAnsiTheme="minorHAnsi" w:cstheme="minorHAnsi"/>
          <w:sz w:val="22"/>
          <w:szCs w:val="22"/>
          <w:lang w:val="it-IT"/>
        </w:rPr>
      </w:pPr>
    </w:p>
    <w:sectPr w:rsidR="000C2D39" w:rsidRPr="00146D0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FBFD2" w14:textId="77777777" w:rsidR="003E561E" w:rsidRDefault="003E561E" w:rsidP="004330C6">
      <w:r>
        <w:separator/>
      </w:r>
    </w:p>
  </w:endnote>
  <w:endnote w:type="continuationSeparator" w:id="0">
    <w:p w14:paraId="5E14D04C" w14:textId="77777777" w:rsidR="003E561E" w:rsidRDefault="003E561E" w:rsidP="004330C6">
      <w:r>
        <w:continuationSeparator/>
      </w:r>
    </w:p>
  </w:endnote>
  <w:endnote w:type="continuationNotice" w:id="1">
    <w:p w14:paraId="7BA75AFE" w14:textId="77777777" w:rsidR="003E561E" w:rsidRDefault="003E5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Pidipagina"/>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1BC30" w14:textId="77777777" w:rsidR="003E561E" w:rsidRDefault="003E561E" w:rsidP="004330C6">
      <w:r>
        <w:separator/>
      </w:r>
    </w:p>
  </w:footnote>
  <w:footnote w:type="continuationSeparator" w:id="0">
    <w:p w14:paraId="726E20E7" w14:textId="77777777" w:rsidR="003E561E" w:rsidRDefault="003E561E" w:rsidP="004330C6">
      <w:r>
        <w:continuationSeparator/>
      </w:r>
    </w:p>
  </w:footnote>
  <w:footnote w:type="continuationNotice" w:id="1">
    <w:p w14:paraId="11C989F2" w14:textId="77777777" w:rsidR="003E561E" w:rsidRDefault="003E56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Intestazion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728D"/>
    <w:rsid w:val="0005069C"/>
    <w:rsid w:val="00055448"/>
    <w:rsid w:val="000619FA"/>
    <w:rsid w:val="00065525"/>
    <w:rsid w:val="00066B40"/>
    <w:rsid w:val="000818EA"/>
    <w:rsid w:val="00086C2C"/>
    <w:rsid w:val="000915D6"/>
    <w:rsid w:val="00092E57"/>
    <w:rsid w:val="00093AB0"/>
    <w:rsid w:val="00094AE6"/>
    <w:rsid w:val="000A5344"/>
    <w:rsid w:val="000C0E6D"/>
    <w:rsid w:val="000C2D39"/>
    <w:rsid w:val="000C5BAB"/>
    <w:rsid w:val="000C6A86"/>
    <w:rsid w:val="000E3EBF"/>
    <w:rsid w:val="00111329"/>
    <w:rsid w:val="00113115"/>
    <w:rsid w:val="00117B88"/>
    <w:rsid w:val="00120233"/>
    <w:rsid w:val="001205C6"/>
    <w:rsid w:val="00122C0A"/>
    <w:rsid w:val="00124F49"/>
    <w:rsid w:val="00134EF8"/>
    <w:rsid w:val="00135BAE"/>
    <w:rsid w:val="001452D7"/>
    <w:rsid w:val="00145E8F"/>
    <w:rsid w:val="00146D02"/>
    <w:rsid w:val="00152521"/>
    <w:rsid w:val="001543F7"/>
    <w:rsid w:val="00162DF3"/>
    <w:rsid w:val="00164685"/>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709A"/>
    <w:rsid w:val="00247B14"/>
    <w:rsid w:val="00247EDB"/>
    <w:rsid w:val="00253E5A"/>
    <w:rsid w:val="00262160"/>
    <w:rsid w:val="0027394B"/>
    <w:rsid w:val="00280E05"/>
    <w:rsid w:val="00283958"/>
    <w:rsid w:val="00285810"/>
    <w:rsid w:val="002956B9"/>
    <w:rsid w:val="002A71BC"/>
    <w:rsid w:val="002B050B"/>
    <w:rsid w:val="002B1920"/>
    <w:rsid w:val="002B2157"/>
    <w:rsid w:val="002B2BC8"/>
    <w:rsid w:val="002B49DF"/>
    <w:rsid w:val="002B520A"/>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62474"/>
    <w:rsid w:val="0036758E"/>
    <w:rsid w:val="003716B9"/>
    <w:rsid w:val="00371F2A"/>
    <w:rsid w:val="0037330B"/>
    <w:rsid w:val="0037421A"/>
    <w:rsid w:val="00374348"/>
    <w:rsid w:val="003817D3"/>
    <w:rsid w:val="003834DC"/>
    <w:rsid w:val="003864D6"/>
    <w:rsid w:val="00387F10"/>
    <w:rsid w:val="00391FEB"/>
    <w:rsid w:val="003920A4"/>
    <w:rsid w:val="003A6419"/>
    <w:rsid w:val="003C3F56"/>
    <w:rsid w:val="003C7650"/>
    <w:rsid w:val="003D51DC"/>
    <w:rsid w:val="003E291B"/>
    <w:rsid w:val="003E4B2D"/>
    <w:rsid w:val="003E5409"/>
    <w:rsid w:val="003E561E"/>
    <w:rsid w:val="003F6959"/>
    <w:rsid w:val="004037C1"/>
    <w:rsid w:val="00411C01"/>
    <w:rsid w:val="00415025"/>
    <w:rsid w:val="0042095F"/>
    <w:rsid w:val="00422766"/>
    <w:rsid w:val="00423486"/>
    <w:rsid w:val="00432C94"/>
    <w:rsid w:val="004330C6"/>
    <w:rsid w:val="00436349"/>
    <w:rsid w:val="0043686C"/>
    <w:rsid w:val="0043733D"/>
    <w:rsid w:val="00441B79"/>
    <w:rsid w:val="00445DF3"/>
    <w:rsid w:val="00454E7E"/>
    <w:rsid w:val="0045598C"/>
    <w:rsid w:val="00457358"/>
    <w:rsid w:val="004624FD"/>
    <w:rsid w:val="0046543C"/>
    <w:rsid w:val="00471643"/>
    <w:rsid w:val="00480081"/>
    <w:rsid w:val="0048445A"/>
    <w:rsid w:val="0048479D"/>
    <w:rsid w:val="00485602"/>
    <w:rsid w:val="004858F2"/>
    <w:rsid w:val="004968EC"/>
    <w:rsid w:val="00496B9D"/>
    <w:rsid w:val="004A5441"/>
    <w:rsid w:val="004A62CF"/>
    <w:rsid w:val="004B5C13"/>
    <w:rsid w:val="004B6B8C"/>
    <w:rsid w:val="004C0829"/>
    <w:rsid w:val="004C0B62"/>
    <w:rsid w:val="004C33CB"/>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76FE"/>
    <w:rsid w:val="00587CCD"/>
    <w:rsid w:val="005B49DD"/>
    <w:rsid w:val="005B7BB6"/>
    <w:rsid w:val="005C0807"/>
    <w:rsid w:val="005C3632"/>
    <w:rsid w:val="005C4A93"/>
    <w:rsid w:val="005D39AD"/>
    <w:rsid w:val="005D45A1"/>
    <w:rsid w:val="005E081F"/>
    <w:rsid w:val="005E37B4"/>
    <w:rsid w:val="005E4FBE"/>
    <w:rsid w:val="005F0633"/>
    <w:rsid w:val="005F2899"/>
    <w:rsid w:val="005F3FF6"/>
    <w:rsid w:val="00600743"/>
    <w:rsid w:val="006009FE"/>
    <w:rsid w:val="00610CDC"/>
    <w:rsid w:val="00625995"/>
    <w:rsid w:val="0063132F"/>
    <w:rsid w:val="00633CC0"/>
    <w:rsid w:val="00640BCD"/>
    <w:rsid w:val="00645AA1"/>
    <w:rsid w:val="00647C22"/>
    <w:rsid w:val="00652A61"/>
    <w:rsid w:val="00653E03"/>
    <w:rsid w:val="0066481D"/>
    <w:rsid w:val="00671046"/>
    <w:rsid w:val="00677D56"/>
    <w:rsid w:val="006811A8"/>
    <w:rsid w:val="00683F82"/>
    <w:rsid w:val="00691110"/>
    <w:rsid w:val="006A0E8D"/>
    <w:rsid w:val="006A2095"/>
    <w:rsid w:val="006A2793"/>
    <w:rsid w:val="006A4552"/>
    <w:rsid w:val="006A7EAF"/>
    <w:rsid w:val="006C2544"/>
    <w:rsid w:val="006C2799"/>
    <w:rsid w:val="006C45CF"/>
    <w:rsid w:val="006D2E7A"/>
    <w:rsid w:val="006E2CFE"/>
    <w:rsid w:val="006E651F"/>
    <w:rsid w:val="006E767C"/>
    <w:rsid w:val="006F06DE"/>
    <w:rsid w:val="006F7A48"/>
    <w:rsid w:val="007009A4"/>
    <w:rsid w:val="00700CFB"/>
    <w:rsid w:val="00710883"/>
    <w:rsid w:val="00713862"/>
    <w:rsid w:val="007153F5"/>
    <w:rsid w:val="007159BB"/>
    <w:rsid w:val="00721C7D"/>
    <w:rsid w:val="0072231E"/>
    <w:rsid w:val="00722C64"/>
    <w:rsid w:val="00723BDD"/>
    <w:rsid w:val="00732A75"/>
    <w:rsid w:val="0073349D"/>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7643"/>
    <w:rsid w:val="007D3C3F"/>
    <w:rsid w:val="007D7F23"/>
    <w:rsid w:val="007E04F9"/>
    <w:rsid w:val="007E1869"/>
    <w:rsid w:val="007E4B69"/>
    <w:rsid w:val="007F3035"/>
    <w:rsid w:val="007F7D01"/>
    <w:rsid w:val="008015C5"/>
    <w:rsid w:val="00801D20"/>
    <w:rsid w:val="00806772"/>
    <w:rsid w:val="008154EE"/>
    <w:rsid w:val="008209B3"/>
    <w:rsid w:val="00821AA6"/>
    <w:rsid w:val="00827FBE"/>
    <w:rsid w:val="00831818"/>
    <w:rsid w:val="00832710"/>
    <w:rsid w:val="00837D8C"/>
    <w:rsid w:val="00840293"/>
    <w:rsid w:val="008474CD"/>
    <w:rsid w:val="008635C3"/>
    <w:rsid w:val="00870A92"/>
    <w:rsid w:val="00872F41"/>
    <w:rsid w:val="008876E8"/>
    <w:rsid w:val="008A0CC1"/>
    <w:rsid w:val="008C5A92"/>
    <w:rsid w:val="008D22AA"/>
    <w:rsid w:val="008D439E"/>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7AFA"/>
    <w:rsid w:val="0095102E"/>
    <w:rsid w:val="0095148D"/>
    <w:rsid w:val="00951931"/>
    <w:rsid w:val="00956CE1"/>
    <w:rsid w:val="009643EB"/>
    <w:rsid w:val="00971B78"/>
    <w:rsid w:val="0097368B"/>
    <w:rsid w:val="009778CC"/>
    <w:rsid w:val="00983DED"/>
    <w:rsid w:val="009865C4"/>
    <w:rsid w:val="009A4D2C"/>
    <w:rsid w:val="009B56F9"/>
    <w:rsid w:val="009B5B18"/>
    <w:rsid w:val="009C2121"/>
    <w:rsid w:val="009C2FC3"/>
    <w:rsid w:val="009E3A51"/>
    <w:rsid w:val="009E41F8"/>
    <w:rsid w:val="009E423B"/>
    <w:rsid w:val="009E7449"/>
    <w:rsid w:val="009F0FB4"/>
    <w:rsid w:val="009F251E"/>
    <w:rsid w:val="00A04C99"/>
    <w:rsid w:val="00A14231"/>
    <w:rsid w:val="00A17E32"/>
    <w:rsid w:val="00A24F5E"/>
    <w:rsid w:val="00A50DD0"/>
    <w:rsid w:val="00A523EA"/>
    <w:rsid w:val="00A55ECE"/>
    <w:rsid w:val="00A57A45"/>
    <w:rsid w:val="00A642D6"/>
    <w:rsid w:val="00A65CF8"/>
    <w:rsid w:val="00A707A3"/>
    <w:rsid w:val="00A71B6D"/>
    <w:rsid w:val="00A738EB"/>
    <w:rsid w:val="00A80D3D"/>
    <w:rsid w:val="00A81D2C"/>
    <w:rsid w:val="00A9154B"/>
    <w:rsid w:val="00A947D9"/>
    <w:rsid w:val="00A96844"/>
    <w:rsid w:val="00AA02A4"/>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287"/>
    <w:rsid w:val="00B42DDB"/>
    <w:rsid w:val="00B43B48"/>
    <w:rsid w:val="00B45F52"/>
    <w:rsid w:val="00B51C51"/>
    <w:rsid w:val="00B5762E"/>
    <w:rsid w:val="00B66CBC"/>
    <w:rsid w:val="00B67F35"/>
    <w:rsid w:val="00B712D5"/>
    <w:rsid w:val="00B74DAC"/>
    <w:rsid w:val="00B76096"/>
    <w:rsid w:val="00B83505"/>
    <w:rsid w:val="00B85A1B"/>
    <w:rsid w:val="00B87AC6"/>
    <w:rsid w:val="00B943F0"/>
    <w:rsid w:val="00BA6FAC"/>
    <w:rsid w:val="00BA750F"/>
    <w:rsid w:val="00BA761B"/>
    <w:rsid w:val="00BC2C84"/>
    <w:rsid w:val="00BC4B5A"/>
    <w:rsid w:val="00BD18F0"/>
    <w:rsid w:val="00BD2BBB"/>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C419B"/>
    <w:rsid w:val="00CC4FA9"/>
    <w:rsid w:val="00CD167B"/>
    <w:rsid w:val="00CD7F18"/>
    <w:rsid w:val="00CE1C7E"/>
    <w:rsid w:val="00CE5003"/>
    <w:rsid w:val="00CF3409"/>
    <w:rsid w:val="00D00355"/>
    <w:rsid w:val="00D05CC6"/>
    <w:rsid w:val="00D1525D"/>
    <w:rsid w:val="00D178AD"/>
    <w:rsid w:val="00D20244"/>
    <w:rsid w:val="00D36541"/>
    <w:rsid w:val="00D37E7B"/>
    <w:rsid w:val="00D43F01"/>
    <w:rsid w:val="00D45AF7"/>
    <w:rsid w:val="00D50FF0"/>
    <w:rsid w:val="00D52D14"/>
    <w:rsid w:val="00D60CED"/>
    <w:rsid w:val="00D715E2"/>
    <w:rsid w:val="00D7514C"/>
    <w:rsid w:val="00D87DE6"/>
    <w:rsid w:val="00D90F15"/>
    <w:rsid w:val="00D915C1"/>
    <w:rsid w:val="00DA2287"/>
    <w:rsid w:val="00DB0450"/>
    <w:rsid w:val="00DB1568"/>
    <w:rsid w:val="00DB37E7"/>
    <w:rsid w:val="00DC1B36"/>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618"/>
    <w:rsid w:val="00E06A56"/>
    <w:rsid w:val="00E1081B"/>
    <w:rsid w:val="00E111CF"/>
    <w:rsid w:val="00E11A14"/>
    <w:rsid w:val="00E1435A"/>
    <w:rsid w:val="00E1626C"/>
    <w:rsid w:val="00E24D88"/>
    <w:rsid w:val="00E3693F"/>
    <w:rsid w:val="00E374A2"/>
    <w:rsid w:val="00E4607C"/>
    <w:rsid w:val="00E50721"/>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1C36"/>
    <w:rsid w:val="00F1313D"/>
    <w:rsid w:val="00F14855"/>
    <w:rsid w:val="00F21E77"/>
    <w:rsid w:val="00F22EA0"/>
    <w:rsid w:val="00F22FA9"/>
    <w:rsid w:val="00F27082"/>
    <w:rsid w:val="00F40FC9"/>
    <w:rsid w:val="00F4178D"/>
    <w:rsid w:val="00F43EA8"/>
    <w:rsid w:val="00F46090"/>
    <w:rsid w:val="00F5035A"/>
    <w:rsid w:val="00F56194"/>
    <w:rsid w:val="00F62431"/>
    <w:rsid w:val="00F80043"/>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09B3"/>
    <w:rPr>
      <w:rFonts w:ascii="Times New Roman" w:eastAsia="Times New Roman" w:hAnsi="Times New Roman" w:cs="Times New Roman"/>
    </w:rPr>
  </w:style>
  <w:style w:type="paragraph" w:styleId="Titolo1">
    <w:name w:val="heading 1"/>
    <w:basedOn w:val="Normale"/>
    <w:link w:val="Titolo1Carattere"/>
    <w:uiPriority w:val="9"/>
    <w:qFormat/>
    <w:rsid w:val="00971B78"/>
    <w:pPr>
      <w:spacing w:before="100" w:beforeAutospacing="1" w:after="100" w:afterAutospacing="1"/>
      <w:outlineLvl w:val="0"/>
    </w:pPr>
    <w:rPr>
      <w:b/>
      <w:bCs/>
      <w:kern w:val="36"/>
      <w:sz w:val="48"/>
      <w:szCs w:val="48"/>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uthor-l2kyzrhsoyms">
    <w:name w:val="author-l2kyzrhsoyms"/>
    <w:basedOn w:val="Carpredefinitoparagrafo"/>
    <w:rsid w:val="00CA04B3"/>
  </w:style>
  <w:style w:type="character" w:styleId="Enfasigrassetto">
    <w:name w:val="Strong"/>
    <w:basedOn w:val="Carpredefinitoparagrafo"/>
    <w:uiPriority w:val="22"/>
    <w:qFormat/>
    <w:rsid w:val="003817D3"/>
    <w:rPr>
      <w:b/>
      <w:bCs/>
    </w:rPr>
  </w:style>
  <w:style w:type="character" w:styleId="Collegamentoipertestuale">
    <w:name w:val="Hyperlink"/>
    <w:basedOn w:val="Carpredefinitoparagrafo"/>
    <w:rsid w:val="004330C6"/>
    <w:rPr>
      <w:color w:val="0000FF"/>
      <w:u w:val="single"/>
    </w:rPr>
  </w:style>
  <w:style w:type="paragraph" w:styleId="Nessunaspaziatura">
    <w:name w:val="No Spacing"/>
    <w:uiPriority w:val="1"/>
    <w:qFormat/>
    <w:rsid w:val="004330C6"/>
    <w:pPr>
      <w:widowControl w:val="0"/>
      <w:suppressAutoHyphens/>
    </w:pPr>
    <w:rPr>
      <w:rFonts w:ascii="Roboto" w:eastAsia="Tahoma" w:hAnsi="Roboto" w:cs="Mangal"/>
      <w:kern w:val="1"/>
      <w:sz w:val="28"/>
    </w:rPr>
  </w:style>
  <w:style w:type="paragraph" w:styleId="Intestazione">
    <w:name w:val="header"/>
    <w:basedOn w:val="Normale"/>
    <w:link w:val="IntestazioneCarattere"/>
    <w:uiPriority w:val="99"/>
    <w:unhideWhenUsed/>
    <w:rsid w:val="004330C6"/>
    <w:pPr>
      <w:tabs>
        <w:tab w:val="center" w:pos="4703"/>
        <w:tab w:val="right" w:pos="9406"/>
      </w:tabs>
    </w:pPr>
  </w:style>
  <w:style w:type="character" w:customStyle="1" w:styleId="IntestazioneCarattere">
    <w:name w:val="Intestazione Carattere"/>
    <w:basedOn w:val="Carpredefinitoparagrafo"/>
    <w:link w:val="Intestazione"/>
    <w:uiPriority w:val="99"/>
    <w:rsid w:val="004330C6"/>
    <w:rPr>
      <w:rFonts w:ascii="Times New Roman" w:hAnsi="Times New Roman" w:cs="Times New Roman"/>
      <w:lang w:eastAsia="de-DE"/>
    </w:rPr>
  </w:style>
  <w:style w:type="paragraph" w:styleId="Pidipagina">
    <w:name w:val="footer"/>
    <w:basedOn w:val="Normale"/>
    <w:link w:val="PidipaginaCarattere"/>
    <w:uiPriority w:val="99"/>
    <w:unhideWhenUsed/>
    <w:rsid w:val="004330C6"/>
    <w:pPr>
      <w:tabs>
        <w:tab w:val="center" w:pos="4703"/>
        <w:tab w:val="right" w:pos="9406"/>
      </w:tabs>
    </w:pPr>
  </w:style>
  <w:style w:type="character" w:customStyle="1" w:styleId="PidipaginaCarattere">
    <w:name w:val="Piè di pagina Carattere"/>
    <w:basedOn w:val="Carpredefinitoparagrafo"/>
    <w:link w:val="Pidipagina"/>
    <w:uiPriority w:val="99"/>
    <w:rsid w:val="004330C6"/>
    <w:rPr>
      <w:rFonts w:ascii="Times New Roman" w:hAnsi="Times New Roman" w:cs="Times New Roman"/>
      <w:lang w:eastAsia="de-DE"/>
    </w:rPr>
  </w:style>
  <w:style w:type="paragraph" w:styleId="Testofumetto">
    <w:name w:val="Balloon Text"/>
    <w:basedOn w:val="Normale"/>
    <w:link w:val="TestofumettoCarattere"/>
    <w:uiPriority w:val="99"/>
    <w:semiHidden/>
    <w:unhideWhenUsed/>
    <w:rsid w:val="004716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71643"/>
    <w:rPr>
      <w:rFonts w:ascii="Segoe UI" w:hAnsi="Segoe UI" w:cs="Segoe UI"/>
      <w:sz w:val="18"/>
      <w:szCs w:val="18"/>
      <w:lang w:eastAsia="de-DE"/>
    </w:rPr>
  </w:style>
  <w:style w:type="character" w:styleId="Rimandocommento">
    <w:name w:val="annotation reference"/>
    <w:basedOn w:val="Carpredefinitoparagrafo"/>
    <w:uiPriority w:val="99"/>
    <w:semiHidden/>
    <w:unhideWhenUsed/>
    <w:rsid w:val="00432C94"/>
    <w:rPr>
      <w:sz w:val="16"/>
      <w:szCs w:val="16"/>
    </w:rPr>
  </w:style>
  <w:style w:type="paragraph" w:styleId="Testocommento">
    <w:name w:val="annotation text"/>
    <w:basedOn w:val="Normale"/>
    <w:link w:val="TestocommentoCarattere"/>
    <w:uiPriority w:val="99"/>
    <w:semiHidden/>
    <w:unhideWhenUsed/>
    <w:rsid w:val="00432C94"/>
    <w:rPr>
      <w:sz w:val="20"/>
      <w:szCs w:val="20"/>
    </w:rPr>
  </w:style>
  <w:style w:type="character" w:customStyle="1" w:styleId="TestocommentoCarattere">
    <w:name w:val="Testo commento Carattere"/>
    <w:basedOn w:val="Carpredefinitoparagrafo"/>
    <w:link w:val="Testocommento"/>
    <w:uiPriority w:val="99"/>
    <w:semiHidden/>
    <w:rsid w:val="0001272F"/>
    <w:rPr>
      <w:rFonts w:ascii="Times New Roman" w:eastAsia="Times New Roman" w:hAnsi="Times New Roman" w:cs="Times New Roman"/>
      <w:sz w:val="20"/>
      <w:szCs w:val="20"/>
      <w:lang w:eastAsia="de-DE"/>
    </w:rPr>
  </w:style>
  <w:style w:type="paragraph" w:styleId="Soggettocommento">
    <w:name w:val="annotation subject"/>
    <w:basedOn w:val="Testocommento"/>
    <w:next w:val="Testocommento"/>
    <w:link w:val="SoggettocommentoCarattere"/>
    <w:uiPriority w:val="99"/>
    <w:semiHidden/>
    <w:unhideWhenUsed/>
    <w:rsid w:val="0001272F"/>
    <w:rPr>
      <w:b/>
      <w:bCs/>
    </w:rPr>
  </w:style>
  <w:style w:type="character" w:customStyle="1" w:styleId="SoggettocommentoCarattere">
    <w:name w:val="Soggetto commento Carattere"/>
    <w:basedOn w:val="TestocommentoCarattere"/>
    <w:link w:val="Soggettocommento"/>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Carpredefinitoparagrafo"/>
    <w:rsid w:val="00723BDD"/>
  </w:style>
  <w:style w:type="paragraph" w:styleId="Revisione">
    <w:name w:val="Revision"/>
    <w:hidden/>
    <w:uiPriority w:val="99"/>
    <w:semiHidden/>
    <w:rsid w:val="001452D7"/>
    <w:rPr>
      <w:rFonts w:ascii="Times New Roman" w:eastAsia="Times New Roman" w:hAnsi="Times New Roman" w:cs="Times New Roman"/>
    </w:rPr>
  </w:style>
  <w:style w:type="paragraph" w:styleId="Paragrafoelenco">
    <w:name w:val="List Paragraph"/>
    <w:basedOn w:val="Normale"/>
    <w:uiPriority w:val="34"/>
    <w:qFormat/>
    <w:rsid w:val="00E72BA6"/>
    <w:pPr>
      <w:ind w:left="720"/>
      <w:contextualSpacing/>
    </w:pPr>
  </w:style>
  <w:style w:type="character" w:styleId="Collegamentovisitato">
    <w:name w:val="FollowedHyperlink"/>
    <w:basedOn w:val="Carpredefinitoparagrafo"/>
    <w:uiPriority w:val="99"/>
    <w:semiHidden/>
    <w:unhideWhenUsed/>
    <w:rsid w:val="007C51E2"/>
    <w:rPr>
      <w:color w:val="954F72" w:themeColor="followedHyperlink"/>
      <w:u w:val="single"/>
    </w:rPr>
  </w:style>
  <w:style w:type="character" w:customStyle="1" w:styleId="Titolo1Carattere">
    <w:name w:val="Titolo 1 Carattere"/>
    <w:basedOn w:val="Carpredefinitoparagrafo"/>
    <w:link w:val="Titolo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Carpredefinitoparagrafo"/>
    <w:rsid w:val="00971B78"/>
  </w:style>
  <w:style w:type="character" w:customStyle="1" w:styleId="NichtaufgelsteErwhnung1">
    <w:name w:val="Nicht aufgelöste Erwähnung1"/>
    <w:basedOn w:val="Carpredefinitoparagrafo"/>
    <w:uiPriority w:val="99"/>
    <w:semiHidden/>
    <w:unhideWhenUsed/>
    <w:rsid w:val="00AF6B32"/>
    <w:rPr>
      <w:color w:val="605E5C"/>
      <w:shd w:val="clear" w:color="auto" w:fill="E1DFDD"/>
    </w:rPr>
  </w:style>
  <w:style w:type="paragraph" w:styleId="NormaleWeb">
    <w:name w:val="Normal (Web)"/>
    <w:basedOn w:val="Normale"/>
    <w:uiPriority w:val="99"/>
    <w:unhideWhenUsed/>
    <w:rsid w:val="00625995"/>
    <w:pPr>
      <w:spacing w:before="100" w:beforeAutospacing="1" w:after="100" w:afterAutospacing="1"/>
    </w:pPr>
    <w:rPr>
      <w:lang w:bidi="ar-SA"/>
    </w:rPr>
  </w:style>
  <w:style w:type="character" w:styleId="Menzionenonrisolta">
    <w:name w:val="Unresolved Mention"/>
    <w:basedOn w:val="Carpredefinitoparagrafo"/>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statisches-licht/theaterscheinwerfer/27532/s4-ip?c=41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3704</Characters>
  <Application>Microsoft Office Word</Application>
  <DocSecurity>0</DocSecurity>
  <Lines>30</Lines>
  <Paragraphs>8</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Mino Scazzetta</cp:lastModifiedBy>
  <cp:revision>4</cp:revision>
  <cp:lastPrinted>2019-01-10T17:28:00Z</cp:lastPrinted>
  <dcterms:created xsi:type="dcterms:W3CDTF">2022-09-21T13:42:00Z</dcterms:created>
  <dcterms:modified xsi:type="dcterms:W3CDTF">2022-10-17T13:10:00Z</dcterms:modified>
</cp:coreProperties>
</file>