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7DC16" w14:textId="77777777" w:rsidR="00054577" w:rsidRPr="00D35281" w:rsidRDefault="00054577" w:rsidP="0005457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>
        <w:rPr>
          <w:rFonts w:ascii="Calibri" w:hAnsi="Calibri"/>
          <w:sz w:val="52"/>
          <w:lang w:val="pl"/>
        </w:rPr>
        <w:t>Komunikat prasowy</w:t>
      </w:r>
    </w:p>
    <w:p w14:paraId="5DC31C18" w14:textId="77777777" w:rsidR="00054577" w:rsidRPr="00D35281" w:rsidRDefault="00054577" w:rsidP="0005457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2119B856" w14:textId="77777777" w:rsidR="00054577" w:rsidRPr="00D35281" w:rsidRDefault="00054577" w:rsidP="0005457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72C17921" w14:textId="09A69D29" w:rsidR="00054577" w:rsidRPr="00D35281" w:rsidRDefault="00054577" w:rsidP="00054577">
      <w:pPr>
        <w:rPr>
          <w:rFonts w:ascii="Calibri" w:hAnsi="Calibri" w:cs="Calibri"/>
          <w:b/>
          <w:sz w:val="44"/>
          <w:szCs w:val="44"/>
          <w:lang w:val="pl-PL"/>
        </w:rPr>
      </w:pPr>
      <w:r>
        <w:rPr>
          <w:rFonts w:ascii="Calibri" w:hAnsi="Calibri" w:cs="Calibri"/>
          <w:b/>
          <w:bCs/>
          <w:sz w:val="44"/>
          <w:szCs w:val="44"/>
          <w:lang w:val="pl"/>
        </w:rPr>
        <w:t xml:space="preserve">Cameo przedstawia ZENIT® W600 SMD: </w:t>
      </w:r>
      <w:r w:rsidR="00C415CD">
        <w:rPr>
          <w:rFonts w:ascii="Calibri" w:hAnsi="Calibri" w:cs="Calibri"/>
          <w:b/>
          <w:bCs/>
          <w:sz w:val="44"/>
          <w:szCs w:val="44"/>
          <w:lang w:val="pl"/>
        </w:rPr>
        <w:t>n</w:t>
      </w:r>
      <w:r>
        <w:rPr>
          <w:rFonts w:ascii="Calibri" w:hAnsi="Calibri" w:cs="Calibri"/>
          <w:b/>
          <w:bCs/>
          <w:sz w:val="44"/>
          <w:szCs w:val="44"/>
          <w:lang w:val="pl"/>
        </w:rPr>
        <w:t xml:space="preserve">owe reflektory typu </w:t>
      </w:r>
      <w:r w:rsidR="00D360A6">
        <w:rPr>
          <w:rFonts w:ascii="Calibri" w:hAnsi="Calibri" w:cs="Calibri"/>
          <w:b/>
          <w:bCs/>
          <w:sz w:val="44"/>
          <w:szCs w:val="44"/>
          <w:lang w:val="pl"/>
        </w:rPr>
        <w:t>Outdoor</w:t>
      </w:r>
      <w:r w:rsidR="00D244C8">
        <w:rPr>
          <w:rFonts w:ascii="Calibri" w:hAnsi="Calibri" w:cs="Calibri"/>
          <w:b/>
          <w:bCs/>
          <w:sz w:val="44"/>
          <w:szCs w:val="44"/>
          <w:lang w:val="pl"/>
        </w:rPr>
        <w:t>-</w:t>
      </w:r>
      <w:r w:rsidR="00D35281">
        <w:rPr>
          <w:rFonts w:ascii="Calibri" w:hAnsi="Calibri" w:cs="Calibri"/>
          <w:b/>
          <w:bCs/>
          <w:sz w:val="44"/>
          <w:szCs w:val="44"/>
          <w:lang w:val="pl"/>
        </w:rPr>
        <w:t>W</w:t>
      </w:r>
      <w:r>
        <w:rPr>
          <w:rFonts w:ascii="Calibri" w:hAnsi="Calibri" w:cs="Calibri"/>
          <w:b/>
          <w:bCs/>
          <w:sz w:val="44"/>
          <w:szCs w:val="44"/>
          <w:lang w:val="pl"/>
        </w:rPr>
        <w:t xml:space="preserve">ash o stopniu ochrony IP65 już dostępne </w:t>
      </w:r>
      <w:r w:rsidR="00D360A6">
        <w:rPr>
          <w:rFonts w:ascii="Calibri" w:hAnsi="Calibri" w:cs="Calibri"/>
          <w:b/>
          <w:bCs/>
          <w:sz w:val="44"/>
          <w:szCs w:val="44"/>
          <w:lang w:val="pl"/>
        </w:rPr>
        <w:t>w sprzedaży</w:t>
      </w:r>
    </w:p>
    <w:p w14:paraId="0350E88B" w14:textId="77777777" w:rsidR="00054577" w:rsidRPr="00D35281" w:rsidRDefault="00054577" w:rsidP="00054577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pl-PL"/>
        </w:rPr>
      </w:pPr>
    </w:p>
    <w:p w14:paraId="51F5D238" w14:textId="619FD204" w:rsidR="00446F11" w:rsidRPr="00D35281" w:rsidRDefault="00446F11" w:rsidP="00446F11">
      <w:pPr>
        <w:rPr>
          <w:rFonts w:ascii="Calibri" w:hAnsi="Calibri" w:cs="Calibri"/>
          <w:b/>
          <w:sz w:val="22"/>
          <w:szCs w:val="22"/>
          <w:shd w:val="clear" w:color="auto" w:fill="FFFFFF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Neu-Anspach, Niemcy — </w:t>
      </w:r>
      <w:r w:rsidR="00E57B0D" w:rsidRPr="00E57B0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24</w:t>
      </w:r>
      <w:r w:rsidRPr="00E57B0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maja 2022 r.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— Dzięki nowemu reflektorowi ZENIT W600 SMD w wersjach RGBW i Daylight marka Cameo rozszerza portfolio produktów do oświetlenia zewnętrznego LED o stopniu ochrony IP65. Projektanci oświetlenia, technicy eventowi oraz firmy </w:t>
      </w:r>
      <w:r w:rsidR="000775E8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rentalowe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</w:t>
      </w:r>
      <w:r w:rsidR="003856A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docenią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</w:t>
      </w:r>
      <w:r w:rsidR="00495EF5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zarówno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</w:t>
      </w:r>
      <w:r w:rsidR="002D2410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możliwość </w:t>
      </w:r>
      <w:r w:rsidR="00334E72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pracy na zewn</w:t>
      </w:r>
      <w:r w:rsidR="009A54D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ą</w:t>
      </w:r>
      <w:r w:rsidR="00334E72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trz</w:t>
      </w:r>
      <w:r w:rsidR="00A75C1F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</w:t>
      </w:r>
      <w:r w:rsidR="00914F57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i</w:t>
      </w:r>
      <w:r w:rsidR="00A75C1F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szczególnie wysok</w:t>
      </w:r>
      <w:r w:rsidR="00B143D8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ą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moc </w:t>
      </w:r>
      <w:r w:rsidR="00B143D8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strumienia 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świ</w:t>
      </w:r>
      <w:r w:rsidR="00B143D8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atła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, </w:t>
      </w:r>
      <w:r w:rsidR="0007402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jak i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maksymaln</w:t>
      </w:r>
      <w:r w:rsidR="00470F6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ą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elastycznoś</w:t>
      </w:r>
      <w:r w:rsidR="00470F6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ć</w:t>
      </w:r>
      <w:r w:rsidR="00CB696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tego urządzenia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. Nowe produkty z serii ZENIT® zostały zaprojektowane z myślą o średnich i dużych imprezach organizowanych w pomieszczeniach i na zewnątrz a także oświetleniu</w:t>
      </w:r>
      <w:r w:rsidR="00ED5473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w </w:t>
      </w:r>
      <w:r w:rsidR="009A54DD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zastosowaniach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 telewizyjn</w:t>
      </w:r>
      <w:r w:rsidR="00ED5473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ych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 xml:space="preserve">. Nowe oświetlenie LED SMD </w:t>
      </w:r>
      <w:r w:rsidR="00D244C8"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Outdoor-</w:t>
      </w:r>
      <w:r>
        <w:rPr>
          <w:rFonts w:ascii="Calibri" w:hAnsi="Calibri" w:cs="Calibri"/>
          <w:b/>
          <w:bCs/>
          <w:sz w:val="22"/>
          <w:szCs w:val="22"/>
          <w:shd w:val="clear" w:color="auto" w:fill="FFFFFF"/>
          <w:lang w:val="pl"/>
        </w:rPr>
        <w:t>Wash jest dostępne w wersjach ZENIT® W600 D SMD Daylight i ZENIT® W600 SMD RGBW.</w:t>
      </w:r>
    </w:p>
    <w:p w14:paraId="5E8E9140" w14:textId="77777777" w:rsidR="00446F11" w:rsidRPr="00D35281" w:rsidRDefault="00446F11" w:rsidP="00446F11">
      <w:pPr>
        <w:rPr>
          <w:rFonts w:ascii="Calibri" w:hAnsi="Calibri" w:cs="Calibri"/>
          <w:b/>
          <w:bCs/>
          <w:color w:val="4472C4" w:themeColor="accent1"/>
          <w:sz w:val="22"/>
          <w:szCs w:val="22"/>
          <w:shd w:val="clear" w:color="auto" w:fill="FFFFFF"/>
          <w:lang w:val="pl-PL"/>
        </w:rPr>
      </w:pPr>
    </w:p>
    <w:p w14:paraId="1E672C1A" w14:textId="7E31B5C6" w:rsidR="00A31A5A" w:rsidRPr="00D35281" w:rsidRDefault="00126CD9" w:rsidP="00054577">
      <w:pPr>
        <w:rPr>
          <w:rFonts w:ascii="Calibri" w:hAnsi="Calibri" w:cs="Calibri"/>
          <w:sz w:val="22"/>
          <w:szCs w:val="22"/>
          <w:shd w:val="clear" w:color="auto" w:fill="FFFFFF"/>
          <w:lang w:val="pl-PL"/>
        </w:rPr>
      </w:pP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W wersji RGBW ZENIT® W600 SMD </w:t>
      </w:r>
      <w:r w:rsidR="009D026E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dostarcza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silny strumień świ</w:t>
      </w:r>
      <w:r w:rsidR="00D96719">
        <w:rPr>
          <w:rFonts w:ascii="Calibri" w:hAnsi="Calibri" w:cs="Calibri"/>
          <w:sz w:val="22"/>
          <w:szCs w:val="22"/>
          <w:shd w:val="clear" w:color="auto" w:fill="FFFFFF"/>
          <w:lang w:val="pl"/>
        </w:rPr>
        <w:t>a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t</w:t>
      </w:r>
      <w:r w:rsidR="00D96719">
        <w:rPr>
          <w:rFonts w:ascii="Calibri" w:hAnsi="Calibri" w:cs="Calibri"/>
          <w:sz w:val="22"/>
          <w:szCs w:val="22"/>
          <w:shd w:val="clear" w:color="auto" w:fill="FFFFFF"/>
          <w:lang w:val="pl"/>
        </w:rPr>
        <w:t>ła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do 41 000 lm. Łącznie 504 diody LED SMD 4 w 1 zapewniają precyzyjne kolory i mieszan</w:t>
      </w:r>
      <w:r w:rsidR="002A13FB">
        <w:rPr>
          <w:rFonts w:ascii="Calibri" w:hAnsi="Calibri" w:cs="Calibri"/>
          <w:sz w:val="22"/>
          <w:szCs w:val="22"/>
          <w:shd w:val="clear" w:color="auto" w:fill="FFFFFF"/>
          <w:lang w:val="pl"/>
        </w:rPr>
        <w:t>i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e</w:t>
      </w:r>
      <w:r w:rsidR="0061754F"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kolorów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z całego spektrum RGBW</w:t>
      </w:r>
      <w:r w:rsidR="00D96719"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w wysokiej rozdzielczości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. Dzięki wskaźnikowi CRI wynoszącemu 85</w:t>
      </w:r>
      <w:r w:rsidR="00925057">
        <w:rPr>
          <w:rFonts w:ascii="Calibri" w:hAnsi="Calibri" w:cs="Calibri"/>
          <w:sz w:val="22"/>
          <w:szCs w:val="22"/>
          <w:shd w:val="clear" w:color="auto" w:fill="FFFFFF"/>
          <w:lang w:val="pl"/>
        </w:rPr>
        <w:t>,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ZENIT® W600 SMD </w:t>
      </w:r>
      <w:r w:rsidR="00234616">
        <w:rPr>
          <w:rFonts w:ascii="Calibri" w:hAnsi="Calibri" w:cs="Calibri"/>
          <w:sz w:val="22"/>
          <w:szCs w:val="22"/>
          <w:shd w:val="clear" w:color="auto" w:fill="FFFFFF"/>
          <w:lang w:val="pl"/>
        </w:rPr>
        <w:t>gwarantuje</w:t>
      </w:r>
      <w:r w:rsidR="00A45F82"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n</w:t>
      </w:r>
      <w:r w:rsidR="007D5651">
        <w:rPr>
          <w:rFonts w:ascii="Calibri" w:hAnsi="Calibri" w:cs="Calibri"/>
          <w:sz w:val="22"/>
          <w:szCs w:val="22"/>
          <w:shd w:val="clear" w:color="auto" w:fill="FFFFFF"/>
          <w:lang w:val="pl"/>
        </w:rPr>
        <w:t>aturalne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odwzorowanie kolorów. Technicy oświetleniowi mają dostęp do zmiennej szerokości pasma temperatury barwowej od 2700 do 6500 K. Dwanaście indywidualnie sterowanych segmentów LED umożliwia generowanie </w:t>
      </w:r>
      <w:r w:rsidR="00C17988"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pełnych 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kolor</w:t>
      </w:r>
      <w:r w:rsidR="00C17988">
        <w:rPr>
          <w:rFonts w:ascii="Calibri" w:hAnsi="Calibri" w:cs="Calibri"/>
          <w:sz w:val="22"/>
          <w:szCs w:val="22"/>
          <w:shd w:val="clear" w:color="auto" w:fill="FFFFFF"/>
          <w:lang w:val="pl"/>
        </w:rPr>
        <w:t>ów</w:t>
      </w:r>
      <w:r w:rsidR="007C0D9F"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</w:t>
      </w:r>
      <w:r w:rsidR="00773B06">
        <w:rPr>
          <w:rFonts w:ascii="Calibri" w:hAnsi="Calibri" w:cs="Calibri"/>
          <w:sz w:val="22"/>
          <w:szCs w:val="22"/>
          <w:shd w:val="clear" w:color="auto" w:fill="FFFFFF"/>
          <w:lang w:val="pl"/>
        </w:rPr>
        <w:t>obrazów</w:t>
      </w:r>
      <w:r w:rsidR="00A30B9A"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</w:t>
      </w:r>
      <w:r w:rsidR="009165F9">
        <w:rPr>
          <w:rFonts w:ascii="Calibri" w:hAnsi="Calibri" w:cs="Calibri"/>
          <w:sz w:val="22"/>
          <w:szCs w:val="22"/>
          <w:shd w:val="clear" w:color="auto" w:fill="FFFFFF"/>
          <w:lang w:val="pl"/>
        </w:rPr>
        <w:t>i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</w:t>
      </w:r>
      <w:r w:rsidR="00D16579">
        <w:rPr>
          <w:rFonts w:ascii="Calibri" w:hAnsi="Calibri" w:cs="Calibri"/>
          <w:sz w:val="22"/>
          <w:szCs w:val="22"/>
          <w:shd w:val="clear" w:color="auto" w:fill="FFFFFF"/>
          <w:lang w:val="pl"/>
        </w:rPr>
        <w:t>efektu „biegnącego”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 xml:space="preserve"> świat</w:t>
      </w:r>
      <w:r w:rsidR="00C17988">
        <w:rPr>
          <w:rFonts w:ascii="Calibri" w:hAnsi="Calibri" w:cs="Calibri"/>
          <w:sz w:val="22"/>
          <w:szCs w:val="22"/>
          <w:shd w:val="clear" w:color="auto" w:fill="FFFFFF"/>
          <w:lang w:val="pl"/>
        </w:rPr>
        <w:t>ła</w:t>
      </w:r>
      <w:r>
        <w:rPr>
          <w:rFonts w:ascii="Calibri" w:hAnsi="Calibri" w:cs="Calibri"/>
          <w:sz w:val="22"/>
          <w:szCs w:val="22"/>
          <w:shd w:val="clear" w:color="auto" w:fill="FFFFFF"/>
          <w:lang w:val="pl"/>
        </w:rPr>
        <w:t>.</w:t>
      </w:r>
    </w:p>
    <w:p w14:paraId="7713B1D7" w14:textId="77777777" w:rsidR="00675259" w:rsidRPr="00D35281" w:rsidRDefault="00675259" w:rsidP="00054577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/>
        </w:rPr>
      </w:pPr>
    </w:p>
    <w:p w14:paraId="499A817C" w14:textId="199D9F9F" w:rsidR="0073404E" w:rsidRPr="00D35281" w:rsidRDefault="00286963" w:rsidP="00054577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>Model Daylight wyposażony</w:t>
      </w:r>
      <w:r w:rsidR="00163FC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 jest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 w 576 diod LED SMD z białym światłem, które zapewniają ekstremalną moc wyjściową do 90 000 lm. Można w tym celu znacznie zwiększyć krótkotrwałą moc wyjściową w trybie Boost. Za pomocą funkcji Pixel Control można osobno sterować 48 segmentami, co gwarantuje projektantom oświetlenia ogromny potencjał przy tworzeniu kreatywnych efektów. Dzięki </w:t>
      </w:r>
      <w:r w:rsidR="00D717BD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zastosowaniu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16-bitowej technologii wysokiej rozdzielczości dostępne są również cztery krzywe ściemniania, a w razie potrzeby można </w:t>
      </w:r>
      <w:r w:rsidR="006B2D0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tu </w:t>
      </w:r>
      <w:r w:rsidR="0062448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>odwzorować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 </w:t>
      </w:r>
      <w:r w:rsidR="00AE6F0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>chara</w:t>
      </w:r>
      <w:r w:rsidR="0062448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>kterystykę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"/>
        </w:rPr>
        <w:t xml:space="preserve"> klasycznych lamp halogenowych. </w:t>
      </w:r>
    </w:p>
    <w:p w14:paraId="47665FF7" w14:textId="77777777" w:rsidR="00C65767" w:rsidRPr="00D35281" w:rsidRDefault="00C65767" w:rsidP="00054577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</w:pPr>
    </w:p>
    <w:p w14:paraId="3D7C727A" w14:textId="189B5540" w:rsidR="00BC3DF7" w:rsidRPr="00D35281" w:rsidRDefault="00174BAD" w:rsidP="00BC3DF7">
      <w:pPr>
        <w:rPr>
          <w:rFonts w:ascii="Calibri" w:hAnsi="Calibri" w:cs="Calibri"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</w:pP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Dzięki wytrzymałej i zoptymalizowanej pod kątem wzornictwa obudowie </w:t>
      </w:r>
      <w:r w:rsidR="00077151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z odlewu alumini</w:t>
      </w:r>
      <w:r w:rsidR="00817912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um,</w:t>
      </w:r>
      <w:r w:rsidR="007505A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ZENIT® W600 SMD nadaje się również do zastosowań w instalacjach stałych. Przemyślana koncepcja chłodzenia opiera się na trzech wentylatorach sterowanych temperatu</w:t>
      </w:r>
      <w:r w:rsidR="007505A8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rowo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, przy czym operator oświetlenia może korzystać z trzech wstępnie zdefiniowanych trybów, w tym automatycznego sterowania wentylatorem i cichego chłodzenia konwekcyjnego w zależności od wrażliwości na hałas. Intuicyjną konfigurację bezpośrednio </w:t>
      </w:r>
      <w:r w:rsidR="00B078B5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z poziomu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urządzeni</w:t>
      </w:r>
      <w:r w:rsidR="00292B76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a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zapewnia wyświetlacz OLED z przyciskami dotykowymi. Oprócz przewodowego sterowania DMX i RDM</w:t>
      </w:r>
      <w:r w:rsidR="00292B76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,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ZENIT® W600 SMD </w:t>
      </w:r>
      <w:r w:rsidR="00A6726C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może być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również sterowan</w:t>
      </w:r>
      <w:r w:rsidR="00A6726C"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>y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 bezprzewodowe za pomocą zintegrowanego nadajnika-odbiornika 2,4 GHz W-DMXTM.</w:t>
      </w:r>
    </w:p>
    <w:p w14:paraId="4A730560" w14:textId="77777777" w:rsidR="00054577" w:rsidRPr="00D35281" w:rsidRDefault="00054577" w:rsidP="00054577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39A20EEA" w14:textId="77777777" w:rsidR="00054577" w:rsidRPr="00D35281" w:rsidRDefault="00054577" w:rsidP="00054577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D35281">
        <w:rPr>
          <w:rFonts w:ascii="Calibri" w:hAnsi="Calibri"/>
          <w:sz w:val="22"/>
          <w:szCs w:val="22"/>
          <w:lang w:val="en-US"/>
        </w:rPr>
        <w:t xml:space="preserve">#Cameo #ForLumenBeings </w:t>
      </w:r>
      <w:r w:rsidRPr="00D35281">
        <w:rPr>
          <w:rFonts w:ascii="Calibri" w:hAnsi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Pr="00D35281">
        <w:rPr>
          <w:rFonts w:ascii="Calibri" w:hAnsi="Calibri"/>
          <w:color w:val="000000" w:themeColor="text1"/>
          <w:sz w:val="22"/>
          <w:szCs w:val="22"/>
          <w:lang w:val="en-US"/>
        </w:rPr>
        <w:t>#ExperienceEventTech</w:t>
      </w:r>
    </w:p>
    <w:p w14:paraId="1922F516" w14:textId="77777777" w:rsidR="00054577" w:rsidRPr="00D35281" w:rsidRDefault="00054577" w:rsidP="00054577">
      <w:pPr>
        <w:pStyle w:val="KeinLeerraum"/>
        <w:rPr>
          <w:rFonts w:ascii="Calibri" w:hAnsi="Calibri"/>
          <w:color w:val="0D0D0D" w:themeColor="text1" w:themeTint="F2"/>
          <w:sz w:val="22"/>
          <w:highlight w:val="yellow"/>
          <w:lang w:val="en-US"/>
        </w:rPr>
      </w:pPr>
    </w:p>
    <w:p w14:paraId="6D210ACE" w14:textId="57AFF4F3" w:rsidR="00054577" w:rsidRPr="00D35281" w:rsidRDefault="00054577" w:rsidP="00054577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 w:rsidRPr="00D35281">
        <w:rPr>
          <w:rFonts w:ascii="Calibri" w:hAnsi="Calibri"/>
          <w:b/>
          <w:bCs/>
          <w:sz w:val="22"/>
          <w:lang w:val="en-US"/>
        </w:rPr>
        <w:lastRenderedPageBreak/>
        <w:t xml:space="preserve">Informacje dodatkowe: </w:t>
      </w:r>
    </w:p>
    <w:p w14:paraId="27A87B6C" w14:textId="303DFEA8" w:rsidR="00304631" w:rsidRPr="00D35281" w:rsidRDefault="00E57B0D" w:rsidP="00054577">
      <w:pPr>
        <w:rPr>
          <w:rStyle w:val="Hyperlink"/>
          <w:rFonts w:ascii="Calibri" w:eastAsia="Arial" w:hAnsi="Calibri"/>
          <w:sz w:val="22"/>
          <w:lang w:val="en-US"/>
        </w:rPr>
      </w:pPr>
      <w:hyperlink r:id="rId6" w:history="1">
        <w:r w:rsidR="00DF5E60" w:rsidRPr="00D35281">
          <w:rPr>
            <w:rStyle w:val="Hyperlink"/>
            <w:rFonts w:ascii="Calibri" w:eastAsia="Arial" w:hAnsi="Calibri"/>
            <w:sz w:val="22"/>
            <w:lang w:val="en-US"/>
          </w:rPr>
          <w:t>cameolight.com</w:t>
        </w:r>
      </w:hyperlink>
    </w:p>
    <w:p w14:paraId="05939802" w14:textId="77777777" w:rsidR="00054577" w:rsidRPr="00D35281" w:rsidRDefault="00054577" w:rsidP="00054577">
      <w:pPr>
        <w:rPr>
          <w:rFonts w:ascii="Calibri" w:hAnsi="Calibri"/>
          <w:b/>
          <w:sz w:val="22"/>
          <w:lang w:val="en-US"/>
        </w:rPr>
      </w:pPr>
    </w:p>
    <w:p w14:paraId="0A3B39EE" w14:textId="1FB1368C" w:rsidR="00054577" w:rsidRPr="00D35281" w:rsidRDefault="00E57B0D" w:rsidP="00054577">
      <w:pPr>
        <w:rPr>
          <w:rStyle w:val="Hyperlink"/>
          <w:rFonts w:ascii="Calibri" w:eastAsia="Arial" w:hAnsi="Calibri"/>
          <w:b/>
          <w:bCs/>
          <w:sz w:val="22"/>
          <w:szCs w:val="22"/>
          <w:lang w:val="en-US"/>
        </w:rPr>
      </w:pPr>
      <w:hyperlink r:id="rId7" w:history="1">
        <w:r w:rsidR="00DF5E60" w:rsidRPr="00D35281">
          <w:rPr>
            <w:rStyle w:val="Hyperlink"/>
            <w:rFonts w:ascii="Calibri" w:hAnsi="Calibri" w:cs="Calibri"/>
            <w:sz w:val="22"/>
            <w:szCs w:val="22"/>
            <w:lang w:val="en-US"/>
          </w:rPr>
          <w:t>adamhall.com</w:t>
        </w:r>
      </w:hyperlink>
      <w:r w:rsidR="00DF5E60" w:rsidRPr="00D35281">
        <w:rPr>
          <w:rFonts w:ascii="Calibri" w:hAnsi="Calibri" w:cs="Calibri"/>
          <w:sz w:val="22"/>
          <w:szCs w:val="22"/>
          <w:lang w:val="en-US"/>
        </w:rPr>
        <w:br/>
      </w:r>
      <w:hyperlink r:id="rId8" w:history="1">
        <w:r w:rsidR="00DF5E60" w:rsidRPr="00D35281">
          <w:rPr>
            <w:rStyle w:val="Hyperlink"/>
            <w:rFonts w:ascii="Calibri" w:hAnsi="Calibri" w:cs="Calibri"/>
            <w:sz w:val="22"/>
            <w:szCs w:val="22"/>
            <w:lang w:val="en-US"/>
          </w:rPr>
          <w:t>blog.adamhall.com</w:t>
        </w:r>
      </w:hyperlink>
    </w:p>
    <w:p w14:paraId="1D2A1197" w14:textId="527AF3DC" w:rsidR="00054577" w:rsidRPr="00D35281" w:rsidRDefault="00054577" w:rsidP="00054577">
      <w:pPr>
        <w:rPr>
          <w:rStyle w:val="Hyperlink"/>
          <w:rFonts w:ascii="Calibri" w:eastAsia="Arial" w:hAnsi="Calibri"/>
          <w:sz w:val="22"/>
          <w:lang w:val="en-US"/>
        </w:rPr>
      </w:pPr>
    </w:p>
    <w:p w14:paraId="51EA1264" w14:textId="58D2C12F" w:rsidR="008705C2" w:rsidRDefault="008705C2" w:rsidP="00054577">
      <w:pPr>
        <w:rPr>
          <w:rStyle w:val="Hyperlink"/>
          <w:rFonts w:ascii="Calibri" w:eastAsia="Arial" w:hAnsi="Calibri"/>
          <w:sz w:val="22"/>
          <w:lang w:val="en-US"/>
        </w:rPr>
      </w:pPr>
    </w:p>
    <w:p w14:paraId="3966691F" w14:textId="77777777" w:rsidR="00E57B0D" w:rsidRDefault="00E57B0D" w:rsidP="00E57B0D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>
        <w:rPr>
          <w:rFonts w:ascii="Calibri" w:hAnsi="Calibri"/>
          <w:b/>
          <w:bCs/>
          <w:color w:val="808080"/>
          <w:sz w:val="18"/>
          <w:lang w:val="en-US"/>
        </w:rPr>
        <w:t>Informacje o Adam Hall Group</w:t>
      </w:r>
    </w:p>
    <w:p w14:paraId="28DB9D95" w14:textId="77777777" w:rsidR="00E57B0D" w:rsidRDefault="00E57B0D" w:rsidP="00E57B0D">
      <w:r>
        <w:rPr>
          <w:rFonts w:ascii="Calibri" w:hAnsi="Calibri"/>
          <w:color w:val="808080"/>
          <w:sz w:val="18"/>
          <w:lang w:val="en-US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en-US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9" w:history="1">
        <w:r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n-US"/>
        </w:rPr>
        <w:t>.</w:t>
      </w:r>
    </w:p>
    <w:p w14:paraId="2849FC72" w14:textId="77777777" w:rsidR="00E57B0D" w:rsidRPr="00D35281" w:rsidRDefault="00E57B0D" w:rsidP="00054577">
      <w:pPr>
        <w:rPr>
          <w:rStyle w:val="Hyperlink"/>
          <w:rFonts w:ascii="Calibri" w:eastAsia="Arial" w:hAnsi="Calibri"/>
          <w:sz w:val="22"/>
          <w:lang w:val="en-US"/>
        </w:rPr>
      </w:pPr>
    </w:p>
    <w:p w14:paraId="590F547E" w14:textId="77777777" w:rsidR="002D33A4" w:rsidRPr="00D35281" w:rsidRDefault="002D33A4">
      <w:pPr>
        <w:rPr>
          <w:lang w:val="en-US"/>
        </w:rPr>
      </w:pPr>
    </w:p>
    <w:sectPr w:rsidR="002D33A4" w:rsidRPr="00D35281" w:rsidSect="0046543C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3C249" w14:textId="77777777" w:rsidR="00C54C80" w:rsidRDefault="00C54C80">
      <w:r>
        <w:separator/>
      </w:r>
    </w:p>
  </w:endnote>
  <w:endnote w:type="continuationSeparator" w:id="0">
    <w:p w14:paraId="039E7483" w14:textId="77777777" w:rsidR="00C54C80" w:rsidRDefault="00C5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96983" w14:textId="77777777" w:rsidR="004330C6" w:rsidRDefault="00C65767">
    <w:pPr>
      <w:pStyle w:val="Fuzeile"/>
    </w:pPr>
    <w:r>
      <w:rPr>
        <w:noProof/>
        <w:lang w:val="pl"/>
      </w:rPr>
      <w:drawing>
        <wp:inline distT="0" distB="0" distL="0" distR="0" wp14:anchorId="6E85F96A" wp14:editId="24BE3C37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2C6F2" w14:textId="77777777" w:rsidR="00C54C80" w:rsidRDefault="00C54C80">
      <w:r>
        <w:separator/>
      </w:r>
    </w:p>
  </w:footnote>
  <w:footnote w:type="continuationSeparator" w:id="0">
    <w:p w14:paraId="68470370" w14:textId="77777777" w:rsidR="00C54C80" w:rsidRDefault="00C54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FBA98" w14:textId="77777777" w:rsidR="004330C6" w:rsidRPr="004304C9" w:rsidRDefault="00C65767" w:rsidP="004330C6">
    <w:pPr>
      <w:pStyle w:val="Kopfzeile"/>
      <w:jc w:val="right"/>
      <w:rPr>
        <w:u w:val="single"/>
      </w:rPr>
    </w:pPr>
    <w:r>
      <w:rPr>
        <w:noProof/>
        <w:lang w:val="pl"/>
      </w:rPr>
      <w:drawing>
        <wp:inline distT="0" distB="0" distL="0" distR="0" wp14:anchorId="1C994BC9" wp14:editId="3FFD2BC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64AF7" w14:textId="77777777" w:rsidR="004330C6" w:rsidRDefault="00E57B0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77"/>
    <w:rsid w:val="00054577"/>
    <w:rsid w:val="0007402D"/>
    <w:rsid w:val="00077151"/>
    <w:rsid w:val="000775E8"/>
    <w:rsid w:val="00126CD9"/>
    <w:rsid w:val="00163FC6"/>
    <w:rsid w:val="00174BAD"/>
    <w:rsid w:val="001B720C"/>
    <w:rsid w:val="001C1D4E"/>
    <w:rsid w:val="001C3C2F"/>
    <w:rsid w:val="001E5E95"/>
    <w:rsid w:val="002228EC"/>
    <w:rsid w:val="00234616"/>
    <w:rsid w:val="00286963"/>
    <w:rsid w:val="00292B76"/>
    <w:rsid w:val="00293F07"/>
    <w:rsid w:val="002A13FB"/>
    <w:rsid w:val="002D2410"/>
    <w:rsid w:val="002D33A4"/>
    <w:rsid w:val="00304631"/>
    <w:rsid w:val="0032140D"/>
    <w:rsid w:val="00334E72"/>
    <w:rsid w:val="003856AD"/>
    <w:rsid w:val="00446F11"/>
    <w:rsid w:val="0046195B"/>
    <w:rsid w:val="0046639C"/>
    <w:rsid w:val="00470F6D"/>
    <w:rsid w:val="004848FC"/>
    <w:rsid w:val="00495EF5"/>
    <w:rsid w:val="00497D0D"/>
    <w:rsid w:val="00591154"/>
    <w:rsid w:val="005B091B"/>
    <w:rsid w:val="005B6E9E"/>
    <w:rsid w:val="005B7905"/>
    <w:rsid w:val="005E2EFA"/>
    <w:rsid w:val="0061754F"/>
    <w:rsid w:val="00621479"/>
    <w:rsid w:val="0062448C"/>
    <w:rsid w:val="00627014"/>
    <w:rsid w:val="00634804"/>
    <w:rsid w:val="00644145"/>
    <w:rsid w:val="00675259"/>
    <w:rsid w:val="00687F49"/>
    <w:rsid w:val="006B2D00"/>
    <w:rsid w:val="006B5E8D"/>
    <w:rsid w:val="0073404E"/>
    <w:rsid w:val="007505A8"/>
    <w:rsid w:val="00773B06"/>
    <w:rsid w:val="00781DF4"/>
    <w:rsid w:val="007961DA"/>
    <w:rsid w:val="007C0D9F"/>
    <w:rsid w:val="007D5651"/>
    <w:rsid w:val="00803CBE"/>
    <w:rsid w:val="00816A96"/>
    <w:rsid w:val="00817912"/>
    <w:rsid w:val="00833932"/>
    <w:rsid w:val="008705C2"/>
    <w:rsid w:val="00882714"/>
    <w:rsid w:val="0088475F"/>
    <w:rsid w:val="008B5855"/>
    <w:rsid w:val="008B64EE"/>
    <w:rsid w:val="008F24FA"/>
    <w:rsid w:val="00914F57"/>
    <w:rsid w:val="009165F9"/>
    <w:rsid w:val="00925057"/>
    <w:rsid w:val="009529EC"/>
    <w:rsid w:val="00971713"/>
    <w:rsid w:val="009A54DD"/>
    <w:rsid w:val="009C3800"/>
    <w:rsid w:val="009D026E"/>
    <w:rsid w:val="009D49A5"/>
    <w:rsid w:val="009F2A95"/>
    <w:rsid w:val="009F53E1"/>
    <w:rsid w:val="00A10317"/>
    <w:rsid w:val="00A30B9A"/>
    <w:rsid w:val="00A31A5A"/>
    <w:rsid w:val="00A45F82"/>
    <w:rsid w:val="00A6726C"/>
    <w:rsid w:val="00A75C1F"/>
    <w:rsid w:val="00AE6F0F"/>
    <w:rsid w:val="00AE7DB2"/>
    <w:rsid w:val="00B078B5"/>
    <w:rsid w:val="00B143D8"/>
    <w:rsid w:val="00B84947"/>
    <w:rsid w:val="00BC3DF7"/>
    <w:rsid w:val="00BE4985"/>
    <w:rsid w:val="00C00921"/>
    <w:rsid w:val="00C13717"/>
    <w:rsid w:val="00C17988"/>
    <w:rsid w:val="00C415CD"/>
    <w:rsid w:val="00C54C80"/>
    <w:rsid w:val="00C65767"/>
    <w:rsid w:val="00CB696D"/>
    <w:rsid w:val="00D16579"/>
    <w:rsid w:val="00D244C8"/>
    <w:rsid w:val="00D35281"/>
    <w:rsid w:val="00D360A6"/>
    <w:rsid w:val="00D717BD"/>
    <w:rsid w:val="00D94338"/>
    <w:rsid w:val="00D96719"/>
    <w:rsid w:val="00DD71C2"/>
    <w:rsid w:val="00DF5E60"/>
    <w:rsid w:val="00E23DDC"/>
    <w:rsid w:val="00E57B0D"/>
    <w:rsid w:val="00ED5473"/>
    <w:rsid w:val="00F15F09"/>
    <w:rsid w:val="00F5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FAE7"/>
  <w15:chartTrackingRefBased/>
  <w15:docId w15:val="{07FF7AA5-1D1D-499D-9591-8D4526657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4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054577"/>
    <w:rPr>
      <w:color w:val="0000FF"/>
      <w:u w:val="single"/>
    </w:rPr>
  </w:style>
  <w:style w:type="paragraph" w:styleId="KeinLeerraum">
    <w:name w:val="No Spacing"/>
    <w:uiPriority w:val="1"/>
    <w:qFormat/>
    <w:rsid w:val="00054577"/>
    <w:pPr>
      <w:widowControl w:val="0"/>
      <w:suppressAutoHyphens/>
      <w:spacing w:after="0" w:line="240" w:lineRule="auto"/>
    </w:pPr>
    <w:rPr>
      <w:rFonts w:ascii="Roboto" w:eastAsia="Tahoma" w:hAnsi="Roboto" w:cs="Mangal"/>
      <w:kern w:val="1"/>
      <w:sz w:val="28"/>
      <w:szCs w:val="24"/>
      <w:lang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054577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577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054577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577"/>
    <w:rPr>
      <w:rFonts w:ascii="Times New Roman" w:eastAsia="Times New Roman" w:hAnsi="Times New Roman" w:cs="Times New Roman"/>
      <w:sz w:val="24"/>
      <w:szCs w:val="24"/>
      <w:lang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463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B09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meolight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Besitzer</dc:creator>
  <cp:keywords/>
  <dc:description/>
  <cp:lastModifiedBy>Petra Mickalova</cp:lastModifiedBy>
  <cp:revision>67</cp:revision>
  <dcterms:created xsi:type="dcterms:W3CDTF">2022-05-17T20:20:00Z</dcterms:created>
  <dcterms:modified xsi:type="dcterms:W3CDTF">2022-05-24T07:58:00Z</dcterms:modified>
</cp:coreProperties>
</file>