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B7549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Comunicato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stampa</w:t>
      </w:r>
      <w:proofErr w:type="spellEnd"/>
    </w:p>
    <w:p w14:paraId="230558DA" w14:textId="61A55546" w:rsidR="004330C6" w:rsidRPr="00B7549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B7549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35C7CFA8" w14:textId="286C4701" w:rsidR="00EF1FDF" w:rsidRPr="00B75495" w:rsidRDefault="00CA1DE6" w:rsidP="00EF1FDF">
      <w:pPr>
        <w:rPr>
          <w:rFonts w:ascii="Calibri" w:hAnsi="Calibri" w:cs="Calibri"/>
          <w:b/>
          <w:bCs/>
          <w:color w:val="000000"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Cameo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soddisfa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la forte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domanda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: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Niclen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UK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investe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nella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serie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FLAT PRO® G2</w:t>
      </w:r>
    </w:p>
    <w:p w14:paraId="4E0D0DE2" w14:textId="77777777" w:rsidR="00983DED" w:rsidRPr="00B75495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480C4301" w14:textId="38818605" w:rsidR="000264B5" w:rsidRPr="00ED6574" w:rsidRDefault="00983DED" w:rsidP="60A97AC5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Neu-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r w:rsidRPr="0042250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Germania – </w:t>
      </w:r>
      <w:r w:rsidR="00422501" w:rsidRPr="00422501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21</w:t>
      </w:r>
      <w:r w:rsidRPr="00422501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422501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Dicembre</w:t>
      </w:r>
      <w:proofErr w:type="spellEnd"/>
      <w:r w:rsidRPr="00422501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2021 </w:t>
      </w:r>
      <w:r w:rsidRPr="0042250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–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Dal 2019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GmbH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possiede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una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filiale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Gran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Bretagna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denominata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GmbH ha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deciso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investire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nelle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apparecchiature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illuminazione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Cameo in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questo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paese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grazie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questi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sforzi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il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gruppo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Adam Hall ha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potuto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rafforzare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Sua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presenza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nell’isola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raggiungendo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notevoli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risultati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nelle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soluzioni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illuminazione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Con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Cameo FLAT PRO® G2,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fari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PAR a LED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particolarmente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compatti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con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miscelazione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cromatica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RGBWA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sono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ora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disponibili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un gran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numero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pezzi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anche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Gran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Bretagna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0D7B7BA" w14:textId="0EB01312" w:rsidR="0005513A" w:rsidRPr="00B75495" w:rsidRDefault="0005513A" w:rsidP="00C028A4">
      <w:pPr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5471F4B7" w14:textId="71557743" w:rsidR="00613F3F" w:rsidRPr="00B75495" w:rsidRDefault="005D3303" w:rsidP="60A97AC5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Il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parco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macchine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comprende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attualmente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modelli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FLAT PRO® 12 G2 e FLAT PRO® 7 G2 in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quantitativo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molto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elevato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Secondo Luke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Merrilees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Direttore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generale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attualmente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nel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mercato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del Regno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Unito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domanda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proiettori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a LED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esterno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certificati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IP65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aumentata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: "La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domanda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elevatissima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tratti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festival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invernali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percorsi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light art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occasione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festività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o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applicazioni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illuminazione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architettonica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."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differenza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versione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standard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proiettori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FLAT PRO® G2,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mercato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nazionale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 ha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richiesto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quelli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connessioni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DMX a 5 pin,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Cameo ha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fornito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senza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ritardi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consegna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</w:t>
      </w:r>
    </w:p>
    <w:p w14:paraId="534D48D6" w14:textId="77777777" w:rsidR="00613F3F" w:rsidRPr="00B75495" w:rsidRDefault="00613F3F" w:rsidP="00C028A4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0E614632" w14:textId="0F6D32A6" w:rsidR="00A92016" w:rsidRPr="00B75495" w:rsidRDefault="00613F3F" w:rsidP="00A92016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Oltre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ai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proiettori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PAR FLAT PRO®,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adesso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portafoglio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Cameo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 include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anche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ricetrasmettitori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W-DMX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™ T1 da 2,4 GHz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controllo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wireless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dell'illuminazione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robusta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combinazione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trasmettitore-ricevitore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rinomata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BlackBox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Wireless Solution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offre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copertura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massima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500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metri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e dispone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varie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tecnologie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W-DMX™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brevettate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incluso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processo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salto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frequenza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adattivo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(AFHSS),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impedisce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automaticamente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interferenze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provenienti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altre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wireless,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nonché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correzione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degli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errori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garantire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sicurezza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dei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protegge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dai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DMX e RDM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danneggiati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.</w:t>
      </w:r>
    </w:p>
    <w:p w14:paraId="5E39EB6C" w14:textId="44CE93BA" w:rsidR="00546842" w:rsidRPr="00B75495" w:rsidRDefault="00546842" w:rsidP="00546842">
      <w:pPr>
        <w:rPr>
          <w:rFonts w:ascii="Calibri" w:hAnsi="Calibri" w:cs="Calibri"/>
          <w:sz w:val="22"/>
          <w:szCs w:val="22"/>
          <w:lang w:val="en"/>
        </w:rPr>
      </w:pPr>
    </w:p>
    <w:p w14:paraId="7BB0D7DB" w14:textId="0C267DF2" w:rsidR="00CA1DE6" w:rsidRPr="00B75495" w:rsidRDefault="00C15F8B" w:rsidP="00C028A4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Già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poco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tempo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dopo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Luke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Merrilees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era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entusiasta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potenziale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modello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FLAT PRO® G2: "In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qualità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fornitori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soluzioni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noleggio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 freddo, non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siamo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direttamente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coinvolti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nell'implementazione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progetti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nostri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clienti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Tuttavia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feedback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sul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FLAT PRO® G2 è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stato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fin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dall'inizio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costantemente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positivo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."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Inoltre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Direttore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generale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UK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augura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continuare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collaborazione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futuro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: "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GmbH 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gruppo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sono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legati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da molto tempo da una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collaborazione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attiva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leale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Siamo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lieti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fatto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che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con Robert Harding (</w:t>
      </w:r>
      <w:r>
        <w:rPr>
          <w:rFonts w:ascii="Calibri" w:hAnsi="Calibri" w:cs="Calibri"/>
          <w:i/>
          <w:iCs/>
          <w:sz w:val="22"/>
          <w:szCs w:val="22"/>
          <w:lang w:val="en"/>
        </w:rPr>
        <w:t xml:space="preserve">Nota: </w:t>
      </w:r>
      <w:proofErr w:type="spellStart"/>
      <w:r>
        <w:rPr>
          <w:rFonts w:ascii="Calibri" w:hAnsi="Calibri" w:cs="Calibri"/>
          <w:i/>
          <w:iCs/>
          <w:sz w:val="22"/>
          <w:szCs w:val="22"/>
          <w:lang w:val="en"/>
        </w:rPr>
        <w:t>Responsabile</w:t>
      </w:r>
      <w:proofErr w:type="spellEnd"/>
      <w:r>
        <w:rPr>
          <w:rFonts w:ascii="Calibri" w:hAnsi="Calibri" w:cs="Calibri"/>
          <w:i/>
          <w:iCs/>
          <w:sz w:val="22"/>
          <w:szCs w:val="22"/>
          <w:lang w:val="en"/>
        </w:rPr>
        <w:t xml:space="preserve"> di Adam Hall, Product Specialist Light Technology / Regno </w:t>
      </w:r>
      <w:proofErr w:type="spellStart"/>
      <w:r>
        <w:rPr>
          <w:rFonts w:ascii="Calibri" w:hAnsi="Calibri" w:cs="Calibri"/>
          <w:i/>
          <w:iCs/>
          <w:sz w:val="22"/>
          <w:szCs w:val="22"/>
          <w:lang w:val="en"/>
        </w:rPr>
        <w:t>Unito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disponiamo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un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ottimo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referente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per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mercato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del Regno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Unito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soprattutto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per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quanto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riguarda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apparecchiature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per le demo, le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domande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tecniche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ecc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."</w:t>
      </w:r>
    </w:p>
    <w:p w14:paraId="0217EB17" w14:textId="77777777" w:rsidR="00CA1DE6" w:rsidRPr="00B75495" w:rsidRDefault="00CA1DE6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B75495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Cameo  #</w:t>
      </w:r>
      <w:proofErr w:type="spellStart"/>
      <w:proofErr w:type="gramEnd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B75495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2C5DEE53" w14:textId="77777777" w:rsidR="00B75495" w:rsidRDefault="00B75495" w:rsidP="00CA19C4">
      <w:pPr>
        <w:rPr>
          <w:rFonts w:ascii="Calibri" w:hAnsi="Calibri" w:cs="Segoe UI"/>
          <w:b/>
          <w:bCs/>
          <w:sz w:val="22"/>
          <w:szCs w:val="22"/>
          <w:lang w:val="en"/>
        </w:rPr>
      </w:pPr>
    </w:p>
    <w:p w14:paraId="74AB6512" w14:textId="77777777" w:rsidR="00B75495" w:rsidRDefault="00B75495" w:rsidP="00CA19C4">
      <w:pPr>
        <w:rPr>
          <w:rFonts w:ascii="Calibri" w:hAnsi="Calibri" w:cs="Segoe UI"/>
          <w:b/>
          <w:bCs/>
          <w:sz w:val="22"/>
          <w:szCs w:val="22"/>
          <w:lang w:val="en"/>
        </w:rPr>
      </w:pPr>
    </w:p>
    <w:p w14:paraId="43F91B5C" w14:textId="77777777" w:rsidR="00B75495" w:rsidRDefault="00B75495" w:rsidP="00CA19C4">
      <w:pPr>
        <w:rPr>
          <w:rFonts w:ascii="Calibri" w:hAnsi="Calibri" w:cs="Segoe UI"/>
          <w:b/>
          <w:bCs/>
          <w:sz w:val="22"/>
          <w:szCs w:val="22"/>
          <w:lang w:val="en"/>
        </w:rPr>
      </w:pPr>
    </w:p>
    <w:p w14:paraId="00941B09" w14:textId="5ED9FDE4" w:rsidR="00E64D66" w:rsidRPr="00422501" w:rsidRDefault="006D2E7A" w:rsidP="00CA19C4">
      <w:pPr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>
        <w:rPr>
          <w:rFonts w:ascii="Calibri" w:hAnsi="Calibri" w:cs="Segoe UI"/>
          <w:b/>
          <w:bCs/>
          <w:sz w:val="22"/>
          <w:szCs w:val="22"/>
          <w:lang w:val="en"/>
        </w:rPr>
        <w:lastRenderedPageBreak/>
        <w:t>Maggiori</w:t>
      </w:r>
      <w:proofErr w:type="spellEnd"/>
      <w:r>
        <w:rPr>
          <w:rFonts w:ascii="Calibri" w:hAnsi="Calibri" w:cs="Segoe U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Segoe UI"/>
          <w:b/>
          <w:bCs/>
          <w:sz w:val="22"/>
          <w:szCs w:val="22"/>
          <w:lang w:val="en"/>
        </w:rPr>
        <w:t>informazioni</w:t>
      </w:r>
      <w:proofErr w:type="spellEnd"/>
      <w:r>
        <w:rPr>
          <w:rFonts w:ascii="Calibri" w:hAnsi="Calibri" w:cs="Segoe UI"/>
          <w:b/>
          <w:bCs/>
          <w:sz w:val="22"/>
          <w:szCs w:val="22"/>
          <w:lang w:val="en"/>
        </w:rPr>
        <w:t xml:space="preserve">: </w:t>
      </w:r>
      <w:r>
        <w:rPr>
          <w:rFonts w:cs="Segoe UI"/>
          <w:sz w:val="22"/>
          <w:szCs w:val="22"/>
          <w:lang w:val="en"/>
        </w:rPr>
        <w:br/>
      </w:r>
      <w:bookmarkStart w:id="0" w:name="_GoBack"/>
      <w:r w:rsidR="00422501" w:rsidRPr="00422501">
        <w:rPr>
          <w:rFonts w:asciiTheme="minorHAnsi" w:hAnsiTheme="minorHAnsi" w:cstheme="minorHAnsi"/>
          <w:sz w:val="22"/>
          <w:szCs w:val="22"/>
        </w:rPr>
        <w:fldChar w:fldCharType="begin"/>
      </w:r>
      <w:r w:rsidR="00422501" w:rsidRPr="00422501">
        <w:rPr>
          <w:rFonts w:asciiTheme="minorHAnsi" w:hAnsiTheme="minorHAnsi" w:cstheme="minorHAnsi"/>
          <w:sz w:val="22"/>
          <w:szCs w:val="22"/>
          <w:lang w:val="en-US"/>
        </w:rPr>
        <w:instrText xml:space="preserve"> HYPERLINK "https://www.niclen.de/en/" \t "_blank" </w:instrText>
      </w:r>
      <w:r w:rsidR="00422501" w:rsidRPr="00422501">
        <w:rPr>
          <w:rFonts w:asciiTheme="minorHAnsi" w:hAnsiTheme="minorHAnsi" w:cstheme="minorHAnsi"/>
          <w:sz w:val="22"/>
          <w:szCs w:val="22"/>
        </w:rPr>
        <w:fldChar w:fldCharType="separate"/>
      </w:r>
      <w:r w:rsidRPr="00422501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t>niclen.de</w:t>
      </w:r>
      <w:r w:rsidR="00422501" w:rsidRPr="00422501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fldChar w:fldCharType="end"/>
      </w:r>
    </w:p>
    <w:p w14:paraId="4CDDD41A" w14:textId="469B67C5" w:rsidR="00E64D66" w:rsidRPr="00422501" w:rsidRDefault="00422501" w:rsidP="00E64D66">
      <w:pPr>
        <w:pStyle w:val="StandardWeb"/>
        <w:spacing w:before="0" w:beforeAutospacing="0" w:after="0" w:afterAutospacing="0"/>
        <w:rPr>
          <w:rStyle w:val="Hyperlink"/>
          <w:rFonts w:asciiTheme="minorHAnsi" w:hAnsiTheme="minorHAnsi" w:cstheme="minorHAnsi"/>
          <w:sz w:val="22"/>
          <w:szCs w:val="22"/>
          <w:lang w:val="en"/>
        </w:rPr>
      </w:pPr>
      <w:r w:rsidRPr="00422501">
        <w:rPr>
          <w:rFonts w:asciiTheme="minorHAnsi" w:hAnsiTheme="minorHAnsi" w:cstheme="minorHAnsi"/>
          <w:sz w:val="22"/>
          <w:szCs w:val="22"/>
        </w:rPr>
        <w:fldChar w:fldCharType="begin"/>
      </w:r>
      <w:r w:rsidRPr="00422501">
        <w:rPr>
          <w:rFonts w:asciiTheme="minorHAnsi" w:hAnsiTheme="minorHAnsi" w:cstheme="minorHAnsi"/>
          <w:sz w:val="22"/>
          <w:szCs w:val="22"/>
          <w:lang w:val="en-US"/>
        </w:rPr>
        <w:instrText xml:space="preserve"> HYPERLINK "http://www.cameolight.com/" </w:instrText>
      </w:r>
      <w:r w:rsidRPr="00422501">
        <w:rPr>
          <w:rFonts w:asciiTheme="minorHAnsi" w:hAnsiTheme="minorHAnsi" w:cstheme="minorHAnsi"/>
          <w:sz w:val="22"/>
          <w:szCs w:val="22"/>
        </w:rPr>
        <w:fldChar w:fldCharType="separate"/>
      </w:r>
      <w:r w:rsidR="00BD0762" w:rsidRPr="00422501">
        <w:rPr>
          <w:rStyle w:val="Hyperlink"/>
          <w:rFonts w:asciiTheme="minorHAnsi" w:hAnsiTheme="minorHAnsi" w:cstheme="minorHAnsi"/>
          <w:sz w:val="22"/>
          <w:szCs w:val="22"/>
          <w:lang w:val="en"/>
        </w:rPr>
        <w:t>cameolight.com</w:t>
      </w:r>
      <w:r w:rsidRPr="00422501">
        <w:rPr>
          <w:rStyle w:val="Hyperlink"/>
          <w:rFonts w:asciiTheme="minorHAnsi" w:hAnsiTheme="minorHAnsi" w:cstheme="minorHAnsi"/>
          <w:sz w:val="22"/>
          <w:szCs w:val="22"/>
          <w:lang w:val="en"/>
        </w:rPr>
        <w:fldChar w:fldCharType="end"/>
      </w:r>
    </w:p>
    <w:bookmarkEnd w:id="0"/>
    <w:p w14:paraId="52E8D81E" w14:textId="49B7D1C9" w:rsidR="00B75495" w:rsidRDefault="00B7549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25B5AE16" w14:textId="77777777" w:rsidR="00B75495" w:rsidRPr="00DD6D8C" w:rsidRDefault="00422501" w:rsidP="00B75495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r>
        <w:fldChar w:fldCharType="begin"/>
      </w:r>
      <w:r w:rsidRPr="00422501">
        <w:rPr>
          <w:lang w:val="en-US"/>
        </w:rPr>
        <w:instrText xml:space="preserve"> HYPERLINK "http://www.adamhall.com" </w:instrText>
      </w:r>
      <w:r>
        <w:fldChar w:fldCharType="separate"/>
      </w:r>
      <w:r w:rsidR="00B75495">
        <w:rPr>
          <w:rStyle w:val="Hyperlink"/>
          <w:rFonts w:ascii="Calibri" w:eastAsia="Arial" w:hAnsi="Calibri" w:cs="Calibri"/>
          <w:color w:val="000000" w:themeColor="text1"/>
          <w:sz w:val="22"/>
          <w:szCs w:val="22"/>
          <w:lang w:val="en"/>
        </w:rPr>
        <w:t>adamhall.com</w:t>
      </w:r>
      <w:r>
        <w:rPr>
          <w:rStyle w:val="Hyperlink"/>
          <w:rFonts w:ascii="Calibri" w:eastAsia="Arial" w:hAnsi="Calibri" w:cs="Calibri"/>
          <w:color w:val="000000" w:themeColor="text1"/>
          <w:sz w:val="22"/>
          <w:szCs w:val="22"/>
          <w:lang w:val="en"/>
        </w:rPr>
        <w:fldChar w:fldCharType="end"/>
      </w:r>
    </w:p>
    <w:p w14:paraId="45E4426E" w14:textId="77777777" w:rsidR="00B75495" w:rsidRPr="00DD6D8C" w:rsidRDefault="00422501" w:rsidP="00B75495">
      <w:pPr>
        <w:rPr>
          <w:rStyle w:val="Hyperlink"/>
          <w:rFonts w:ascii="Calibri" w:eastAsia="Arial" w:hAnsi="Calibri"/>
          <w:sz w:val="22"/>
          <w:lang w:val="en-US"/>
        </w:rPr>
      </w:pPr>
      <w:r>
        <w:fldChar w:fldCharType="begin"/>
      </w:r>
      <w:r w:rsidRPr="00422501">
        <w:rPr>
          <w:lang w:val="en-US"/>
        </w:rPr>
        <w:instrText xml:space="preserve"> HYPERLINK "https://event.tech" </w:instrText>
      </w:r>
      <w:r>
        <w:fldChar w:fldCharType="separate"/>
      </w:r>
      <w:proofErr w:type="spellStart"/>
      <w:proofErr w:type="gramStart"/>
      <w:r w:rsidR="00B75495">
        <w:rPr>
          <w:rStyle w:val="Hyperlink"/>
          <w:rFonts w:ascii="Calibri" w:eastAsia="Arial" w:hAnsi="Calibri" w:cs="Calibri"/>
          <w:sz w:val="22"/>
          <w:szCs w:val="22"/>
          <w:lang w:val="en"/>
        </w:rPr>
        <w:t>event.tech</w:t>
      </w:r>
      <w:proofErr w:type="spellEnd"/>
      <w:proofErr w:type="gramEnd"/>
      <w:r>
        <w:rPr>
          <w:rStyle w:val="Hyperlink"/>
          <w:rFonts w:ascii="Calibri" w:eastAsia="Arial" w:hAnsi="Calibri" w:cs="Calibri"/>
          <w:sz w:val="22"/>
          <w:szCs w:val="22"/>
          <w:lang w:val="en"/>
        </w:rPr>
        <w:fldChar w:fldCharType="end"/>
      </w:r>
    </w:p>
    <w:p w14:paraId="2BF7F286" w14:textId="69E23A05" w:rsidR="00B75495" w:rsidRDefault="00B7549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26D8C894" w14:textId="6593ABC8" w:rsidR="00B75495" w:rsidRDefault="00B7549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4C4150F7" w14:textId="77777777" w:rsidR="00B75495" w:rsidRPr="003E487D" w:rsidRDefault="00B75495" w:rsidP="00B75495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00CBEC99" w14:textId="77777777" w:rsidR="00B75495" w:rsidRPr="003E487D" w:rsidRDefault="00B75495" w:rsidP="00B75495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3E487D"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mondo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flight case.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2A406D65" w14:textId="77777777" w:rsidR="00B75495" w:rsidRPr="003E487D" w:rsidRDefault="00B75495" w:rsidP="00B75495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centrale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Web </w:t>
      </w:r>
      <w:r w:rsidR="00422501">
        <w:fldChar w:fldCharType="begin"/>
      </w:r>
      <w:r w:rsidR="00422501" w:rsidRPr="00422501">
        <w:rPr>
          <w:lang w:val="en-US"/>
        </w:rPr>
        <w:instrText xml:space="preserve"> HYPERLINK "https://www.adamhall.com/it-it" </w:instrText>
      </w:r>
      <w:r w:rsidR="00422501">
        <w:fldChar w:fldCharType="separate"/>
      </w:r>
      <w:r w:rsidRPr="002C057A">
        <w:rPr>
          <w:rFonts w:ascii="Calibri" w:hAnsi="Calibri" w:cs="Calibri"/>
          <w:b/>
          <w:color w:val="808080"/>
          <w:sz w:val="18"/>
          <w:lang w:val="en-US"/>
        </w:rPr>
        <w:t>www.adamhall.com</w:t>
      </w:r>
      <w:r w:rsidR="00422501">
        <w:rPr>
          <w:rFonts w:ascii="Calibri" w:hAnsi="Calibri" w:cs="Calibri"/>
          <w:b/>
          <w:color w:val="808080"/>
          <w:sz w:val="18"/>
          <w:lang w:val="en-US"/>
        </w:rPr>
        <w:fldChar w:fldCharType="end"/>
      </w:r>
      <w:r w:rsidRPr="003E487D">
        <w:rPr>
          <w:rFonts w:ascii="Calibri" w:hAnsi="Calibri" w:cs="Calibri"/>
          <w:color w:val="808080"/>
          <w:sz w:val="18"/>
          <w:lang w:val="en-US"/>
        </w:rPr>
        <w:t>.</w:t>
      </w:r>
    </w:p>
    <w:p w14:paraId="04B17DEF" w14:textId="77777777" w:rsidR="00B75495" w:rsidRDefault="00B75495" w:rsidP="00B75495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2838E852" w14:textId="77777777" w:rsidR="00B75495" w:rsidRDefault="00B75495" w:rsidP="00B75495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stampa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AHG:</w:t>
      </w:r>
    </w:p>
    <w:p w14:paraId="2A354D3F" w14:textId="77777777" w:rsidR="00B75495" w:rsidRDefault="00B75495" w:rsidP="00B7549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59E1359A" w14:textId="77777777" w:rsidR="00B75495" w:rsidRDefault="00B75495" w:rsidP="00B7549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2FD2309F" w14:textId="77777777" w:rsidR="00B75495" w:rsidRDefault="00B75495" w:rsidP="00B7549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7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6D320593" w14:textId="77777777" w:rsidR="00B75495" w:rsidRPr="00B75495" w:rsidRDefault="00B7549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5300F5D9" w14:textId="38A276B1" w:rsidR="000C2D39" w:rsidRPr="00B75495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B75495" w:rsidSect="0046543C">
      <w:headerReference w:type="default" r:id="rId8"/>
      <w:footerReference w:type="default" r:id="rId9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B2B5" w14:textId="77777777" w:rsidR="00BD0762" w:rsidRDefault="00BD0762" w:rsidP="004330C6">
      <w:r>
        <w:separator/>
      </w:r>
    </w:p>
  </w:endnote>
  <w:endnote w:type="continuationSeparator" w:id="0">
    <w:p w14:paraId="1AE94704" w14:textId="77777777" w:rsidR="00BD0762" w:rsidRDefault="00BD0762" w:rsidP="004330C6">
      <w:r>
        <w:continuationSeparator/>
      </w:r>
    </w:p>
  </w:endnote>
  <w:endnote w:type="continuationNotice" w:id="1">
    <w:p w14:paraId="3BC8683C" w14:textId="77777777" w:rsidR="00BD0762" w:rsidRDefault="00BD07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C2C0A" w14:textId="77777777" w:rsidR="00BD0762" w:rsidRDefault="00BD0762" w:rsidP="004330C6">
      <w:r>
        <w:separator/>
      </w:r>
    </w:p>
  </w:footnote>
  <w:footnote w:type="continuationSeparator" w:id="0">
    <w:p w14:paraId="076A84E9" w14:textId="77777777" w:rsidR="00BD0762" w:rsidRDefault="00BD0762" w:rsidP="004330C6">
      <w:r>
        <w:continuationSeparator/>
      </w:r>
    </w:p>
  </w:footnote>
  <w:footnote w:type="continuationNotice" w:id="1">
    <w:p w14:paraId="00ECE9A9" w14:textId="77777777" w:rsidR="00BD0762" w:rsidRDefault="00BD07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5513A"/>
    <w:rsid w:val="000619FA"/>
    <w:rsid w:val="00065525"/>
    <w:rsid w:val="000818EA"/>
    <w:rsid w:val="00086C2C"/>
    <w:rsid w:val="000915D6"/>
    <w:rsid w:val="00092E57"/>
    <w:rsid w:val="00093961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0233"/>
    <w:rsid w:val="00124F49"/>
    <w:rsid w:val="00134EF8"/>
    <w:rsid w:val="00135BAE"/>
    <w:rsid w:val="001452D7"/>
    <w:rsid w:val="00145E8F"/>
    <w:rsid w:val="00150867"/>
    <w:rsid w:val="001543F7"/>
    <w:rsid w:val="00162DF3"/>
    <w:rsid w:val="00164685"/>
    <w:rsid w:val="00171553"/>
    <w:rsid w:val="001750B0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4CDB"/>
    <w:rsid w:val="001C5825"/>
    <w:rsid w:val="001C5D7F"/>
    <w:rsid w:val="001D3A0C"/>
    <w:rsid w:val="001D6F99"/>
    <w:rsid w:val="001E29E8"/>
    <w:rsid w:val="001E51CC"/>
    <w:rsid w:val="001E7D25"/>
    <w:rsid w:val="001F0E84"/>
    <w:rsid w:val="001F13FD"/>
    <w:rsid w:val="0020235E"/>
    <w:rsid w:val="002034DB"/>
    <w:rsid w:val="00205109"/>
    <w:rsid w:val="002072E5"/>
    <w:rsid w:val="00207525"/>
    <w:rsid w:val="00214A26"/>
    <w:rsid w:val="00215123"/>
    <w:rsid w:val="002160F4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86BF4"/>
    <w:rsid w:val="002956B9"/>
    <w:rsid w:val="002A71BC"/>
    <w:rsid w:val="002B1920"/>
    <w:rsid w:val="002B2157"/>
    <w:rsid w:val="002B2BC8"/>
    <w:rsid w:val="002B38D5"/>
    <w:rsid w:val="002B49DF"/>
    <w:rsid w:val="002B520A"/>
    <w:rsid w:val="002C32D6"/>
    <w:rsid w:val="002D3E93"/>
    <w:rsid w:val="002D4A1E"/>
    <w:rsid w:val="002E0B50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B1635"/>
    <w:rsid w:val="003C2D6F"/>
    <w:rsid w:val="003C3F56"/>
    <w:rsid w:val="003C7650"/>
    <w:rsid w:val="003D51DC"/>
    <w:rsid w:val="003E4B2D"/>
    <w:rsid w:val="003E5409"/>
    <w:rsid w:val="003F6959"/>
    <w:rsid w:val="004037C1"/>
    <w:rsid w:val="004038AC"/>
    <w:rsid w:val="00411C01"/>
    <w:rsid w:val="0042095F"/>
    <w:rsid w:val="00422501"/>
    <w:rsid w:val="00422766"/>
    <w:rsid w:val="00423486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B0607"/>
    <w:rsid w:val="004C0829"/>
    <w:rsid w:val="004D54E9"/>
    <w:rsid w:val="004E5409"/>
    <w:rsid w:val="004F2B6A"/>
    <w:rsid w:val="004F3D40"/>
    <w:rsid w:val="004F5412"/>
    <w:rsid w:val="004F7810"/>
    <w:rsid w:val="00507E4C"/>
    <w:rsid w:val="00512A72"/>
    <w:rsid w:val="005208EC"/>
    <w:rsid w:val="00525BCE"/>
    <w:rsid w:val="00532A65"/>
    <w:rsid w:val="0054267D"/>
    <w:rsid w:val="00546842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A7F9D"/>
    <w:rsid w:val="005B15DA"/>
    <w:rsid w:val="005B49DD"/>
    <w:rsid w:val="005B7BB6"/>
    <w:rsid w:val="005C0807"/>
    <w:rsid w:val="005C3632"/>
    <w:rsid w:val="005C4A93"/>
    <w:rsid w:val="005D19E8"/>
    <w:rsid w:val="005D3303"/>
    <w:rsid w:val="005D45A1"/>
    <w:rsid w:val="005E081F"/>
    <w:rsid w:val="005E37B4"/>
    <w:rsid w:val="005F0633"/>
    <w:rsid w:val="005F2899"/>
    <w:rsid w:val="005F3FF6"/>
    <w:rsid w:val="00600743"/>
    <w:rsid w:val="00610CDC"/>
    <w:rsid w:val="00613F3F"/>
    <w:rsid w:val="00623884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3CEE"/>
    <w:rsid w:val="006811A8"/>
    <w:rsid w:val="00683F82"/>
    <w:rsid w:val="00685200"/>
    <w:rsid w:val="00691110"/>
    <w:rsid w:val="006A0E8D"/>
    <w:rsid w:val="006A2793"/>
    <w:rsid w:val="006A4552"/>
    <w:rsid w:val="006C2544"/>
    <w:rsid w:val="006C2799"/>
    <w:rsid w:val="006C3F60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87C0D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16465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A39C3"/>
    <w:rsid w:val="009A5FBE"/>
    <w:rsid w:val="009B56F9"/>
    <w:rsid w:val="009B5B18"/>
    <w:rsid w:val="009C2121"/>
    <w:rsid w:val="009E1017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77344"/>
    <w:rsid w:val="00A80D3D"/>
    <w:rsid w:val="00A81D2C"/>
    <w:rsid w:val="00A92016"/>
    <w:rsid w:val="00A947D9"/>
    <w:rsid w:val="00A958F2"/>
    <w:rsid w:val="00A96852"/>
    <w:rsid w:val="00AB080D"/>
    <w:rsid w:val="00AB4CD5"/>
    <w:rsid w:val="00AC0AC7"/>
    <w:rsid w:val="00AC1756"/>
    <w:rsid w:val="00AC4522"/>
    <w:rsid w:val="00AC6A98"/>
    <w:rsid w:val="00AD56FA"/>
    <w:rsid w:val="00AE0BCA"/>
    <w:rsid w:val="00AE147C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522F8"/>
    <w:rsid w:val="00B67F35"/>
    <w:rsid w:val="00B712D5"/>
    <w:rsid w:val="00B74DAC"/>
    <w:rsid w:val="00B75495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0762"/>
    <w:rsid w:val="00BD18F0"/>
    <w:rsid w:val="00BD2BBB"/>
    <w:rsid w:val="00C028A4"/>
    <w:rsid w:val="00C070F9"/>
    <w:rsid w:val="00C15F8B"/>
    <w:rsid w:val="00C1680C"/>
    <w:rsid w:val="00C25136"/>
    <w:rsid w:val="00C328A4"/>
    <w:rsid w:val="00C34EC8"/>
    <w:rsid w:val="00C3535E"/>
    <w:rsid w:val="00C432CE"/>
    <w:rsid w:val="00C4796C"/>
    <w:rsid w:val="00C47DE7"/>
    <w:rsid w:val="00C64C73"/>
    <w:rsid w:val="00C66F10"/>
    <w:rsid w:val="00C75511"/>
    <w:rsid w:val="00C77231"/>
    <w:rsid w:val="00C7798D"/>
    <w:rsid w:val="00C81614"/>
    <w:rsid w:val="00C85C87"/>
    <w:rsid w:val="00C87824"/>
    <w:rsid w:val="00CA04B3"/>
    <w:rsid w:val="00CA19C4"/>
    <w:rsid w:val="00CA1DE6"/>
    <w:rsid w:val="00CB3E46"/>
    <w:rsid w:val="00CB5540"/>
    <w:rsid w:val="00CC4FA9"/>
    <w:rsid w:val="00CD167B"/>
    <w:rsid w:val="00CD67CB"/>
    <w:rsid w:val="00CD7F18"/>
    <w:rsid w:val="00CE5003"/>
    <w:rsid w:val="00CF3409"/>
    <w:rsid w:val="00D00355"/>
    <w:rsid w:val="00D03049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1B36"/>
    <w:rsid w:val="00DC43F1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0BB"/>
    <w:rsid w:val="00E1081B"/>
    <w:rsid w:val="00E11A14"/>
    <w:rsid w:val="00E1435A"/>
    <w:rsid w:val="00E1626C"/>
    <w:rsid w:val="00E24D88"/>
    <w:rsid w:val="00E374A2"/>
    <w:rsid w:val="00E4607C"/>
    <w:rsid w:val="00E64D66"/>
    <w:rsid w:val="00E65984"/>
    <w:rsid w:val="00E72BA6"/>
    <w:rsid w:val="00E8278D"/>
    <w:rsid w:val="00E84890"/>
    <w:rsid w:val="00E8654F"/>
    <w:rsid w:val="00E86932"/>
    <w:rsid w:val="00E94C2E"/>
    <w:rsid w:val="00E96407"/>
    <w:rsid w:val="00E9699A"/>
    <w:rsid w:val="00EA107B"/>
    <w:rsid w:val="00EA1913"/>
    <w:rsid w:val="00EB4FE9"/>
    <w:rsid w:val="00ED5FC7"/>
    <w:rsid w:val="00ED6574"/>
    <w:rsid w:val="00EE0A6D"/>
    <w:rsid w:val="00EE0F8A"/>
    <w:rsid w:val="00EF1FDF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60A9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customStyle="1" w:styleId="link-without-visited-state">
    <w:name w:val="link-without-visited-state"/>
    <w:basedOn w:val="Absatz-Standardschriftart"/>
    <w:rsid w:val="00CA19C4"/>
  </w:style>
  <w:style w:type="character" w:styleId="NichtaufgelsteErwhnung">
    <w:name w:val="Unresolved Mention"/>
    <w:basedOn w:val="Absatz-Standardschriftart"/>
    <w:uiPriority w:val="99"/>
    <w:semiHidden/>
    <w:unhideWhenUsed/>
    <w:rsid w:val="00CA1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ess@adamhal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4299</Characters>
  <Application>Microsoft Office Word</Application>
  <DocSecurity>0</DocSecurity>
  <Lines>35</Lines>
  <Paragraphs>9</Paragraphs>
  <ScaleCrop>false</ScaleCrop>
  <Company>Adam Hall GmbH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5</cp:revision>
  <cp:lastPrinted>2019-01-10T17:28:00Z</cp:lastPrinted>
  <dcterms:created xsi:type="dcterms:W3CDTF">2021-12-07T12:23:00Z</dcterms:created>
  <dcterms:modified xsi:type="dcterms:W3CDTF">2021-12-21T10:32:00Z</dcterms:modified>
</cp:coreProperties>
</file>